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ABE0" w14:textId="77777777" w:rsidR="004071C1" w:rsidRDefault="00000000" w:rsidP="00BE3567">
      <w:pPr>
        <w:spacing w:after="160" w:line="259" w:lineRule="auto"/>
        <w:sectPr w:rsidR="004071C1">
          <w:headerReference w:type="default" r:id="rId8"/>
          <w:footerReference w:type="default" r:id="rId9"/>
          <w:pgSz w:w="11909" w:h="16834"/>
          <w:pgMar w:top="1440" w:right="1440" w:bottom="1440" w:left="1440" w:header="720" w:footer="720" w:gutter="0"/>
          <w:pgNumType w:start="1"/>
          <w:cols w:space="720"/>
        </w:sectPr>
      </w:pPr>
      <w:r>
        <w:rPr>
          <w:noProof/>
        </w:rPr>
        <mc:AlternateContent>
          <mc:Choice Requires="wps">
            <w:drawing>
              <wp:anchor distT="0" distB="0" distL="0" distR="0" simplePos="0" relativeHeight="251658240" behindDoc="1" locked="0" layoutInCell="1" hidden="0" allowOverlap="1" wp14:anchorId="3AEB5C5C" wp14:editId="72431A6C">
                <wp:simplePos x="0" y="0"/>
                <wp:positionH relativeFrom="column">
                  <wp:posOffset>-444499</wp:posOffset>
                </wp:positionH>
                <wp:positionV relativeFrom="paragraph">
                  <wp:posOffset>1193800</wp:posOffset>
                </wp:positionV>
                <wp:extent cx="6867525" cy="7551425"/>
                <wp:effectExtent l="0" t="0" r="0" b="0"/>
                <wp:wrapNone/>
                <wp:docPr id="1684114853" name="Rectangle 1684114853"/>
                <wp:cNvGraphicFramePr/>
                <a:graphic xmlns:a="http://schemas.openxmlformats.org/drawingml/2006/main">
                  <a:graphicData uri="http://schemas.microsoft.com/office/word/2010/wordprocessingShape">
                    <wps:wsp>
                      <wps:cNvSpPr/>
                      <wps:spPr>
                        <a:xfrm>
                          <a:off x="1917000" y="9050"/>
                          <a:ext cx="6858000" cy="7541900"/>
                        </a:xfrm>
                        <a:prstGeom prst="rect">
                          <a:avLst/>
                        </a:prstGeom>
                        <a:noFill/>
                        <a:ln>
                          <a:noFill/>
                        </a:ln>
                      </wps:spPr>
                      <wps:txbx>
                        <w:txbxContent>
                          <w:p w14:paraId="064EA36F" w14:textId="77777777" w:rsidR="004071C1" w:rsidRDefault="004071C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AEB5C5C" id="Rectangle 1684114853" o:spid="_x0000_s1026" style="position:absolute;margin-left:-35pt;margin-top:94pt;width:540.75pt;height:594.6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" filled="f" stroked="f">
                <v:textbox inset="2.53958mm,2.53958mm,2.53958mm,2.53958mm">
                  <w:txbxContent>
                    <w:p w14:paraId="064EA36F" w14:textId="77777777" w:rsidR="004071C1" w:rsidRDefault="004071C1">
                      <w:pPr>
                        <w:spacing w:line="240" w:lineRule="auto"/>
                        <w:textDirection w:val="btLr"/>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13599BBF" wp14:editId="6FB8A143">
                <wp:simplePos x="0" y="0"/>
                <wp:positionH relativeFrom="column">
                  <wp:posOffset>-444499</wp:posOffset>
                </wp:positionH>
                <wp:positionV relativeFrom="paragraph">
                  <wp:posOffset>1193800</wp:posOffset>
                </wp:positionV>
                <wp:extent cx="6867525" cy="7551425"/>
                <wp:effectExtent l="0" t="0" r="0" b="0"/>
                <wp:wrapNone/>
                <wp:docPr id="1684114855" name="Rectangle 1684114855"/>
                <wp:cNvGraphicFramePr/>
                <a:graphic xmlns:a="http://schemas.openxmlformats.org/drawingml/2006/main">
                  <a:graphicData uri="http://schemas.microsoft.com/office/word/2010/wordprocessingShape">
                    <wps:wsp>
                      <wps:cNvSpPr/>
                      <wps:spPr>
                        <a:xfrm>
                          <a:off x="1917000" y="9050"/>
                          <a:ext cx="6858000" cy="7541900"/>
                        </a:xfrm>
                        <a:prstGeom prst="rect">
                          <a:avLst/>
                        </a:prstGeom>
                        <a:noFill/>
                        <a:ln>
                          <a:noFill/>
                        </a:ln>
                      </wps:spPr>
                      <wps:txbx>
                        <w:txbxContent>
                          <w:p w14:paraId="6CC8DA30" w14:textId="77777777" w:rsidR="004071C1" w:rsidRDefault="004071C1">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599BBF" id="Rectangle 1684114855" o:spid="_x0000_s1027" style="position:absolute;margin-left:-35pt;margin-top:94pt;width:540.75pt;height:594.6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" filled="f" stroked="f">
                <v:textbox inset="2.53958mm,2.53958mm,2.53958mm,2.53958mm">
                  <w:txbxContent>
                    <w:p w14:paraId="6CC8DA30" w14:textId="77777777" w:rsidR="004071C1" w:rsidRDefault="004071C1">
                      <w:pPr>
                        <w:spacing w:line="240" w:lineRule="auto"/>
                        <w:textDirection w:val="btLr"/>
                      </w:pPr>
                    </w:p>
                  </w:txbxContent>
                </v:textbox>
              </v:rect>
            </w:pict>
          </mc:Fallback>
        </mc:AlternateContent>
      </w:r>
      <w:r>
        <w:rPr>
          <w:noProof/>
        </w:rPr>
        <mc:AlternateContent>
          <mc:Choice Requires="wpg">
            <w:drawing>
              <wp:anchor distT="0" distB="0" distL="0" distR="0" simplePos="0" relativeHeight="251660288" behindDoc="1" locked="0" layoutInCell="1" hidden="0" allowOverlap="1" wp14:anchorId="190F6DFF" wp14:editId="7FFB7D44">
                <wp:simplePos x="0" y="0"/>
                <wp:positionH relativeFrom="column">
                  <wp:posOffset>-444499</wp:posOffset>
                </wp:positionH>
                <wp:positionV relativeFrom="paragraph">
                  <wp:posOffset>1193800</wp:posOffset>
                </wp:positionV>
                <wp:extent cx="6858000" cy="7541899"/>
                <wp:effectExtent l="0" t="0" r="0" b="0"/>
                <wp:wrapNone/>
                <wp:docPr id="1684114854" name="Group 1684114854"/>
                <wp:cNvGraphicFramePr/>
                <a:graphic xmlns:a="http://schemas.openxmlformats.org/drawingml/2006/main">
                  <a:graphicData uri="http://schemas.microsoft.com/office/word/2010/wordprocessingGroup">
                    <wpg:wgp>
                      <wpg:cNvGrpSpPr/>
                      <wpg:grpSpPr>
                        <a:xfrm>
                          <a:off x="0" y="0"/>
                          <a:ext cx="6858000" cy="7541899"/>
                          <a:chOff x="1917000" y="9050"/>
                          <a:chExt cx="6858000" cy="7541900"/>
                        </a:xfrm>
                      </wpg:grpSpPr>
                      <wpg:grpSp>
                        <wpg:cNvPr id="1597552724" name="Group 1597552724"/>
                        <wpg:cNvGrpSpPr/>
                        <wpg:grpSpPr>
                          <a:xfrm>
                            <a:off x="1917000" y="9051"/>
                            <a:ext cx="6858000" cy="7541899"/>
                            <a:chOff x="0" y="1636294"/>
                            <a:chExt cx="6858000" cy="7635455"/>
                          </a:xfrm>
                        </wpg:grpSpPr>
                        <wps:wsp>
                          <wps:cNvPr id="1103922696" name="Rectangle 1103922696"/>
                          <wps:cNvSpPr/>
                          <wps:spPr>
                            <a:xfrm>
                              <a:off x="0" y="1636294"/>
                              <a:ext cx="6858000" cy="7635450"/>
                            </a:xfrm>
                            <a:prstGeom prst="rect">
                              <a:avLst/>
                            </a:prstGeom>
                            <a:noFill/>
                            <a:ln>
                              <a:noFill/>
                            </a:ln>
                          </wps:spPr>
                          <wps:txbx>
                            <w:txbxContent>
                              <w:p w14:paraId="4752942D"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1600290436" name="Rectangle 1600290436"/>
                          <wps:cNvSpPr/>
                          <wps:spPr>
                            <a:xfrm>
                              <a:off x="0" y="1636294"/>
                              <a:ext cx="6858000" cy="7635450"/>
                            </a:xfrm>
                            <a:prstGeom prst="rect">
                              <a:avLst/>
                            </a:prstGeom>
                            <a:noFill/>
                            <a:ln>
                              <a:noFill/>
                            </a:ln>
                          </wps:spPr>
                          <wps:txbx>
                            <w:txbxContent>
                              <w:p w14:paraId="3C13382A"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99654888" name="Rectangle 99654888"/>
                          <wps:cNvSpPr/>
                          <wps:spPr>
                            <a:xfrm>
                              <a:off x="0" y="7214462"/>
                              <a:ext cx="6858000" cy="143182"/>
                            </a:xfrm>
                            <a:prstGeom prst="rect">
                              <a:avLst/>
                            </a:prstGeom>
                            <a:solidFill>
                              <a:srgbClr val="C00000"/>
                            </a:solidFill>
                            <a:ln>
                              <a:noFill/>
                            </a:ln>
                          </wps:spPr>
                          <wps:txbx>
                            <w:txbxContent>
                              <w:p w14:paraId="691D9A58" w14:textId="77777777" w:rsidR="004071C1" w:rsidRDefault="004071C1">
                                <w:pPr>
                                  <w:spacing w:line="240" w:lineRule="auto"/>
                                  <w:textDirection w:val="btLr"/>
                                </w:pPr>
                              </w:p>
                            </w:txbxContent>
                          </wps:txbx>
                          <wps:bodyPr spcFirstLastPara="1" wrap="square" lIns="91425" tIns="91425" rIns="91425" bIns="91425" anchor="ctr" anchorCtr="0">
                            <a:noAutofit/>
                          </wps:bodyPr>
                        </wps:wsp>
                        <wps:wsp>
                          <wps:cNvPr id="148434046" name="Rectangle 148434046"/>
                          <wps:cNvSpPr/>
                          <wps:spPr>
                            <a:xfrm>
                              <a:off x="0" y="7439024"/>
                              <a:ext cx="6858000" cy="1832725"/>
                            </a:xfrm>
                            <a:prstGeom prst="rect">
                              <a:avLst/>
                            </a:prstGeom>
                            <a:solidFill>
                              <a:schemeClr val="accent1"/>
                            </a:solidFill>
                            <a:ln>
                              <a:noFill/>
                            </a:ln>
                          </wps:spPr>
                          <wps:txbx>
                            <w:txbxContent>
                              <w:p w14:paraId="1A3D41FE" w14:textId="77777777" w:rsidR="004071C1" w:rsidRDefault="004071C1">
                                <w:pPr>
                                  <w:spacing w:line="240" w:lineRule="auto"/>
                                  <w:textDirection w:val="btLr"/>
                                </w:pPr>
                              </w:p>
                            </w:txbxContent>
                          </wps:txbx>
                          <wps:bodyPr spcFirstLastPara="1" wrap="square" lIns="457200" tIns="182875" rIns="457200" bIns="457200" anchor="b" anchorCtr="0">
                            <a:noAutofit/>
                          </wps:bodyPr>
                        </wps:wsp>
                        <wps:wsp>
                          <wps:cNvPr id="2108426202" name="Rectangle 2108426202"/>
                          <wps:cNvSpPr/>
                          <wps:spPr>
                            <a:xfrm>
                              <a:off x="0" y="1636294"/>
                              <a:ext cx="6858000" cy="5363722"/>
                            </a:xfrm>
                            <a:prstGeom prst="rect">
                              <a:avLst/>
                            </a:prstGeom>
                            <a:noFill/>
                            <a:ln>
                              <a:noFill/>
                            </a:ln>
                          </wps:spPr>
                          <wps:txbx>
                            <w:txbxContent>
                              <w:p w14:paraId="444168C4" w14:textId="72172FAD" w:rsidR="004071C1" w:rsidRDefault="00937A80" w:rsidP="00937A80">
                                <w:pPr>
                                  <w:spacing w:before="240" w:line="240" w:lineRule="auto"/>
                                  <w:jc w:val="center"/>
                                  <w:textDirection w:val="btLr"/>
                                </w:pPr>
                                <w:r w:rsidRPr="00937A80">
                                  <w:rPr>
                                    <w:rFonts w:ascii="Calibri" w:eastAsia="Calibri" w:hAnsi="Calibri" w:cs="Calibri"/>
                                    <w:b/>
                                    <w:bCs/>
                                    <w:color w:val="000000" w:themeColor="text1"/>
                                    <w:sz w:val="60"/>
                                    <w:szCs w:val="60"/>
                                    <w:lang w:eastAsia="en-US"/>
                                  </w:rPr>
                                  <w:t>D6.2 Exploitation Reports</w:t>
                                </w:r>
                              </w:p>
                            </w:txbxContent>
                          </wps:txbx>
                          <wps:bodyPr spcFirstLastPara="1" wrap="square" lIns="457200" tIns="457200" rIns="457200" bIns="457200" anchor="ctr" anchorCtr="0">
                            <a:noAutofit/>
                          </wps:bodyPr>
                        </wps:wsp>
                      </wpg:grpSp>
                    </wpg:wgp>
                  </a:graphicData>
                </a:graphic>
              </wp:anchor>
            </w:drawing>
          </mc:Choice>
          <mc:Fallback>
            <w:pict>
              <v:group w14:anchorId="190F6DFF" id="Group 1684114854" o:spid="_x0000_s1028" style="position:absolute;margin-left:-35pt;margin-top:94pt;width:540pt;height:593.85pt;z-index:-251656192;mso-wrap-distance-left:0;mso-wrap-distance-right:0" coordorigin="19170,90" coordsize="68580,75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">
                <v:group id="Group 1597552724" o:spid="_x0000_s1029" style="position:absolute;left:19170;top:90;width:68580;height:75419" coordorigin=",16362" coordsize="68580,76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">
                  <v:rect id="Rectangle 1103922696" o:spid="_x0000_s1030" style="position:absolute;top:16362;width:68580;height:76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" filled="f" stroked="f">
                    <v:textbox inset="2.53958mm,2.53958mm,2.53958mm,2.53958mm">
                      <w:txbxContent>
                        <w:p w14:paraId="4752942D" w14:textId="77777777" w:rsidR="004071C1" w:rsidRDefault="004071C1">
                          <w:pPr>
                            <w:spacing w:line="240" w:lineRule="auto"/>
                            <w:textDirection w:val="btLr"/>
                          </w:pPr>
                        </w:p>
                      </w:txbxContent>
                    </v:textbox>
                  </v:rect>
                  <v:rect id="Rectangle 1600290436" o:spid="_x0000_s1031" style="position:absolute;top:16362;width:68580;height:763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" filled="f" stroked="f">
                    <v:textbox inset="2.53958mm,2.53958mm,2.53958mm,2.53958mm">
                      <w:txbxContent>
                        <w:p w14:paraId="3C13382A" w14:textId="77777777" w:rsidR="004071C1" w:rsidRDefault="004071C1">
                          <w:pPr>
                            <w:spacing w:line="240" w:lineRule="auto"/>
                            <w:textDirection w:val="btLr"/>
                          </w:pPr>
                        </w:p>
                      </w:txbxContent>
                    </v:textbox>
                  </v:rect>
                  <v:rect id="Rectangle 99654888" o:spid="_x0000_s1032" style="position:absolute;top:72144;width:68580;height:1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" fillcolor="#c00000" stroked="f">
                    <v:textbox inset="2.53958mm,2.53958mm,2.53958mm,2.53958mm">
                      <w:txbxContent>
                        <w:p w14:paraId="691D9A58" w14:textId="77777777" w:rsidR="004071C1" w:rsidRDefault="004071C1">
                          <w:pPr>
                            <w:spacing w:line="240" w:lineRule="auto"/>
                            <w:textDirection w:val="btLr"/>
                          </w:pPr>
                        </w:p>
                      </w:txbxContent>
                    </v:textbox>
                  </v:rect>
                  <v:rect id="Rectangle 148434046" o:spid="_x0000_s1033"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" fillcolor="#4f81bd [3204]" stroked="f">
                    <v:textbox inset="36pt,5.07986mm,36pt,36pt">
                      <w:txbxContent>
                        <w:p w14:paraId="1A3D41FE" w14:textId="77777777" w:rsidR="004071C1" w:rsidRDefault="004071C1">
                          <w:pPr>
                            <w:spacing w:line="240" w:lineRule="auto"/>
                            <w:textDirection w:val="btLr"/>
                          </w:pPr>
                        </w:p>
                      </w:txbxContent>
                    </v:textbox>
                  </v:rect>
                  <v:rect id="Rectangle 2108426202" o:spid="_x0000_s1034" style="position:absolute;top:16362;width:68580;height:536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" filled="f" stroked="f">
                    <v:textbox inset="36pt,36pt,36pt,36pt">
                      <w:txbxContent>
                        <w:p w14:paraId="444168C4" w14:textId="72172FAD" w:rsidR="004071C1" w:rsidRDefault="00937A80" w:rsidP="00937A80">
                          <w:pPr>
                            <w:spacing w:before="240" w:line="240" w:lineRule="auto"/>
                            <w:jc w:val="center"/>
                            <w:textDirection w:val="btLr"/>
                          </w:pPr>
                          <w:r w:rsidRPr="00937A80">
                            <w:rPr>
                              <w:rFonts w:ascii="Calibri" w:eastAsia="Calibri" w:hAnsi="Calibri" w:cs="Calibri"/>
                              <w:b/>
                              <w:bCs/>
                              <w:color w:val="000000" w:themeColor="text1"/>
                              <w:sz w:val="60"/>
                              <w:szCs w:val="60"/>
                              <w:lang w:eastAsia="en-US"/>
                            </w:rPr>
                            <w:t>D6.2 Exploitation Reports</w:t>
                          </w:r>
                        </w:p>
                      </w:txbxContent>
                    </v:textbox>
                  </v:rect>
                </v:group>
              </v:group>
            </w:pict>
          </mc:Fallback>
        </mc:AlternateContent>
      </w:r>
    </w:p>
    <w:p w14:paraId="1A908DD0" w14:textId="77777777" w:rsidR="00BE3567" w:rsidRDefault="00BE3567" w:rsidP="00A4195B">
      <w:pPr>
        <w:sectPr w:rsidR="00BE3567">
          <w:pgSz w:w="11909" w:h="16834"/>
          <w:pgMar w:top="1417" w:right="1701" w:bottom="1417" w:left="1701" w:header="0" w:footer="705" w:gutter="0"/>
          <w:cols w:space="720"/>
        </w:sectPr>
      </w:pPr>
    </w:p>
    <w:p w14:paraId="369D2B72" w14:textId="77777777" w:rsidR="004071C1" w:rsidRDefault="00000000" w:rsidP="00BE3567">
      <w:pPr>
        <w:keepNext/>
        <w:keepLines/>
        <w:spacing w:before="240" w:after="80" w:line="259" w:lineRule="auto"/>
        <w:rPr>
          <w:color w:val="2F5496"/>
          <w:sz w:val="32"/>
          <w:szCs w:val="32"/>
        </w:rPr>
      </w:pPr>
      <w:r>
        <w:rPr>
          <w:color w:val="2F5496"/>
          <w:sz w:val="32"/>
          <w:szCs w:val="32"/>
        </w:rPr>
        <w:lastRenderedPageBreak/>
        <w:t>Table of Content</w:t>
      </w:r>
    </w:p>
    <w:p w14:paraId="469887CF" w14:textId="77777777" w:rsidR="00724ABB" w:rsidRDefault="00724ABB" w:rsidP="00BE3567">
      <w:pPr>
        <w:keepNext/>
        <w:keepLines/>
        <w:spacing w:before="240" w:after="80" w:line="259" w:lineRule="auto"/>
        <w:rPr>
          <w:color w:val="2F5496"/>
          <w:sz w:val="32"/>
          <w:szCs w:val="32"/>
        </w:rPr>
      </w:pPr>
    </w:p>
    <w:sdt>
      <w:sdtPr>
        <w:id w:val="-1352805359"/>
        <w:docPartObj>
          <w:docPartGallery w:val="Table of Contents"/>
          <w:docPartUnique/>
        </w:docPartObj>
      </w:sdtPr>
      <w:sdtContent>
        <w:p w14:paraId="54167820" w14:textId="37A4440D" w:rsidR="00E3612A" w:rsidRDefault="00000000">
          <w:pPr>
            <w:pStyle w:val="TOC1"/>
            <w:tabs>
              <w:tab w:val="left" w:pos="480"/>
              <w:tab w:val="right" w:pos="9207"/>
            </w:tabs>
            <w:rPr>
              <w:rFonts w:asciiTheme="minorHAnsi" w:eastAsiaTheme="minorEastAsia" w:hAnsiTheme="minorHAnsi" w:cstheme="minorBidi"/>
              <w:noProof/>
              <w:kern w:val="2"/>
              <w:sz w:val="24"/>
              <w:szCs w:val="24"/>
              <w:lang w:val="en-SI"/>
              <w14:ligatures w14:val="standardContextual"/>
            </w:rPr>
          </w:pPr>
          <w:r>
            <w:fldChar w:fldCharType="begin"/>
          </w:r>
          <w:r>
            <w:instrText xml:space="preserve"> TOC \h \u \z \t "Heading 1,1,Heading 2,2,Heading 3,3,Heading 4,4,Heading 5,5,Heading 6,6,"</w:instrText>
          </w:r>
          <w:r>
            <w:fldChar w:fldCharType="separate"/>
          </w:r>
          <w:hyperlink w:anchor="_Toc212629897" w:history="1">
            <w:r w:rsidR="00E3612A" w:rsidRPr="000D7560">
              <w:rPr>
                <w:rStyle w:val="Hyperlink"/>
                <w:noProof/>
              </w:rPr>
              <w:t>1</w:t>
            </w:r>
            <w:r w:rsidR="00E3612A">
              <w:rPr>
                <w:rFonts w:asciiTheme="minorHAnsi" w:eastAsiaTheme="minorEastAsia" w:hAnsiTheme="minorHAnsi" w:cstheme="minorBidi"/>
                <w:noProof/>
                <w:kern w:val="2"/>
                <w:sz w:val="24"/>
                <w:szCs w:val="24"/>
                <w:lang w:val="en-SI"/>
                <w14:ligatures w14:val="standardContextual"/>
              </w:rPr>
              <w:tab/>
            </w:r>
            <w:r w:rsidR="00E3612A" w:rsidRPr="000D7560">
              <w:rPr>
                <w:rStyle w:val="Hyperlink"/>
                <w:noProof/>
              </w:rPr>
              <w:t>Objectives</w:t>
            </w:r>
            <w:r w:rsidR="00E3612A">
              <w:rPr>
                <w:noProof/>
                <w:webHidden/>
              </w:rPr>
              <w:tab/>
            </w:r>
            <w:r w:rsidR="00E3612A">
              <w:rPr>
                <w:noProof/>
                <w:webHidden/>
              </w:rPr>
              <w:fldChar w:fldCharType="begin"/>
            </w:r>
            <w:r w:rsidR="00E3612A">
              <w:rPr>
                <w:noProof/>
                <w:webHidden/>
              </w:rPr>
              <w:instrText xml:space="preserve"> PAGEREF _Toc212629897 \h </w:instrText>
            </w:r>
            <w:r w:rsidR="00E3612A">
              <w:rPr>
                <w:noProof/>
                <w:webHidden/>
              </w:rPr>
            </w:r>
            <w:r w:rsidR="00E3612A">
              <w:rPr>
                <w:noProof/>
                <w:webHidden/>
              </w:rPr>
              <w:fldChar w:fldCharType="separate"/>
            </w:r>
            <w:r w:rsidR="00E3612A">
              <w:rPr>
                <w:noProof/>
                <w:webHidden/>
              </w:rPr>
              <w:t>4</w:t>
            </w:r>
            <w:r w:rsidR="00E3612A">
              <w:rPr>
                <w:noProof/>
                <w:webHidden/>
              </w:rPr>
              <w:fldChar w:fldCharType="end"/>
            </w:r>
          </w:hyperlink>
        </w:p>
        <w:p w14:paraId="7D0B5271" w14:textId="51DB7E4C" w:rsidR="00E3612A" w:rsidRDefault="00E3612A">
          <w:pPr>
            <w:pStyle w:val="TOC2"/>
            <w:tabs>
              <w:tab w:val="right" w:pos="9207"/>
            </w:tabs>
            <w:rPr>
              <w:rFonts w:asciiTheme="minorHAnsi" w:eastAsiaTheme="minorEastAsia" w:hAnsiTheme="minorHAnsi" w:cstheme="minorBidi"/>
              <w:noProof/>
              <w:kern w:val="2"/>
              <w:sz w:val="24"/>
              <w:szCs w:val="24"/>
              <w:lang w:val="en-SI"/>
              <w14:ligatures w14:val="standardContextual"/>
            </w:rPr>
          </w:pPr>
          <w:hyperlink w:anchor="_Toc212629898" w:history="1">
            <w:r w:rsidRPr="000D7560">
              <w:rPr>
                <w:rStyle w:val="Hyperlink"/>
                <w:noProof/>
              </w:rPr>
              <w:t>2.3 Exploitation Mechanisms</w:t>
            </w:r>
            <w:r>
              <w:rPr>
                <w:noProof/>
                <w:webHidden/>
              </w:rPr>
              <w:tab/>
            </w:r>
            <w:r>
              <w:rPr>
                <w:noProof/>
                <w:webHidden/>
              </w:rPr>
              <w:fldChar w:fldCharType="begin"/>
            </w:r>
            <w:r>
              <w:rPr>
                <w:noProof/>
                <w:webHidden/>
              </w:rPr>
              <w:instrText xml:space="preserve"> PAGEREF _Toc212629898 \h </w:instrText>
            </w:r>
            <w:r>
              <w:rPr>
                <w:noProof/>
                <w:webHidden/>
              </w:rPr>
            </w:r>
            <w:r>
              <w:rPr>
                <w:noProof/>
                <w:webHidden/>
              </w:rPr>
              <w:fldChar w:fldCharType="separate"/>
            </w:r>
            <w:r>
              <w:rPr>
                <w:noProof/>
                <w:webHidden/>
              </w:rPr>
              <w:t>6</w:t>
            </w:r>
            <w:r>
              <w:rPr>
                <w:noProof/>
                <w:webHidden/>
              </w:rPr>
              <w:fldChar w:fldCharType="end"/>
            </w:r>
          </w:hyperlink>
        </w:p>
        <w:p w14:paraId="3666ABB1" w14:textId="6064584A" w:rsidR="00E3612A" w:rsidRDefault="00E3612A">
          <w:pPr>
            <w:pStyle w:val="TOC2"/>
            <w:tabs>
              <w:tab w:val="right" w:pos="9207"/>
            </w:tabs>
            <w:rPr>
              <w:rFonts w:asciiTheme="minorHAnsi" w:eastAsiaTheme="minorEastAsia" w:hAnsiTheme="minorHAnsi" w:cstheme="minorBidi"/>
              <w:noProof/>
              <w:kern w:val="2"/>
              <w:sz w:val="24"/>
              <w:szCs w:val="24"/>
              <w:lang w:val="en-SI"/>
              <w14:ligatures w14:val="standardContextual"/>
            </w:rPr>
          </w:pPr>
          <w:hyperlink w:anchor="_Toc212629899" w:history="1">
            <w:r w:rsidRPr="000D7560">
              <w:rPr>
                <w:rStyle w:val="Hyperlink"/>
                <w:noProof/>
              </w:rPr>
              <w:t>2.4 Partner Exploitation Plans</w:t>
            </w:r>
            <w:r>
              <w:rPr>
                <w:noProof/>
                <w:webHidden/>
              </w:rPr>
              <w:tab/>
            </w:r>
            <w:r>
              <w:rPr>
                <w:noProof/>
                <w:webHidden/>
              </w:rPr>
              <w:fldChar w:fldCharType="begin"/>
            </w:r>
            <w:r>
              <w:rPr>
                <w:noProof/>
                <w:webHidden/>
              </w:rPr>
              <w:instrText xml:space="preserve"> PAGEREF _Toc212629899 \h </w:instrText>
            </w:r>
            <w:r>
              <w:rPr>
                <w:noProof/>
                <w:webHidden/>
              </w:rPr>
            </w:r>
            <w:r>
              <w:rPr>
                <w:noProof/>
                <w:webHidden/>
              </w:rPr>
              <w:fldChar w:fldCharType="separate"/>
            </w:r>
            <w:r>
              <w:rPr>
                <w:noProof/>
                <w:webHidden/>
              </w:rPr>
              <w:t>6</w:t>
            </w:r>
            <w:r>
              <w:rPr>
                <w:noProof/>
                <w:webHidden/>
              </w:rPr>
              <w:fldChar w:fldCharType="end"/>
            </w:r>
          </w:hyperlink>
        </w:p>
        <w:p w14:paraId="1BD57BB2" w14:textId="715A97E7" w:rsidR="00E3612A" w:rsidRDefault="00E3612A">
          <w:pPr>
            <w:pStyle w:val="TOC1"/>
            <w:tabs>
              <w:tab w:val="left" w:pos="480"/>
              <w:tab w:val="right" w:pos="9207"/>
            </w:tabs>
            <w:rPr>
              <w:rFonts w:asciiTheme="minorHAnsi" w:eastAsiaTheme="minorEastAsia" w:hAnsiTheme="minorHAnsi" w:cstheme="minorBidi"/>
              <w:noProof/>
              <w:kern w:val="2"/>
              <w:sz w:val="24"/>
              <w:szCs w:val="24"/>
              <w:lang w:val="en-SI"/>
              <w14:ligatures w14:val="standardContextual"/>
            </w:rPr>
          </w:pPr>
          <w:hyperlink w:anchor="_Toc212629900" w:history="1">
            <w:r w:rsidRPr="000D7560">
              <w:rPr>
                <w:rStyle w:val="Hyperlink"/>
                <w:noProof/>
              </w:rPr>
              <w:t>3</w:t>
            </w:r>
            <w:r>
              <w:rPr>
                <w:rFonts w:asciiTheme="minorHAnsi" w:eastAsiaTheme="minorEastAsia" w:hAnsiTheme="minorHAnsi" w:cstheme="minorBidi"/>
                <w:noProof/>
                <w:kern w:val="2"/>
                <w:sz w:val="24"/>
                <w:szCs w:val="24"/>
                <w:lang w:val="en-SI"/>
                <w14:ligatures w14:val="standardContextual"/>
              </w:rPr>
              <w:tab/>
            </w:r>
            <w:r w:rsidRPr="000D7560">
              <w:rPr>
                <w:rStyle w:val="Hyperlink"/>
                <w:noProof/>
              </w:rPr>
              <w:t>Outcomes and Impact</w:t>
            </w:r>
            <w:r>
              <w:rPr>
                <w:noProof/>
                <w:webHidden/>
              </w:rPr>
              <w:tab/>
            </w:r>
            <w:r>
              <w:rPr>
                <w:noProof/>
                <w:webHidden/>
              </w:rPr>
              <w:fldChar w:fldCharType="begin"/>
            </w:r>
            <w:r>
              <w:rPr>
                <w:noProof/>
                <w:webHidden/>
              </w:rPr>
              <w:instrText xml:space="preserve"> PAGEREF _Toc212629900 \h </w:instrText>
            </w:r>
            <w:r>
              <w:rPr>
                <w:noProof/>
                <w:webHidden/>
              </w:rPr>
            </w:r>
            <w:r>
              <w:rPr>
                <w:noProof/>
                <w:webHidden/>
              </w:rPr>
              <w:fldChar w:fldCharType="separate"/>
            </w:r>
            <w:r>
              <w:rPr>
                <w:noProof/>
                <w:webHidden/>
              </w:rPr>
              <w:t>8</w:t>
            </w:r>
            <w:r>
              <w:rPr>
                <w:noProof/>
                <w:webHidden/>
              </w:rPr>
              <w:fldChar w:fldCharType="end"/>
            </w:r>
          </w:hyperlink>
        </w:p>
        <w:p w14:paraId="5F1A2F4F" w14:textId="67F71FB2" w:rsidR="004071C1" w:rsidRPr="00BE3567" w:rsidRDefault="00000000" w:rsidP="00BE3567">
          <w:pPr>
            <w:widowControl w:val="0"/>
            <w:tabs>
              <w:tab w:val="right" w:pos="12000"/>
            </w:tabs>
            <w:spacing w:before="60" w:line="240" w:lineRule="auto"/>
            <w:rPr>
              <w:b/>
              <w:color w:val="000000"/>
            </w:rPr>
            <w:sectPr w:rsidR="004071C1" w:rsidRPr="00BE3567">
              <w:pgSz w:w="11909" w:h="16834"/>
              <w:pgMar w:top="1417" w:right="991" w:bottom="1417" w:left="1701" w:header="0" w:footer="705" w:gutter="0"/>
              <w:cols w:space="720"/>
            </w:sectPr>
          </w:pPr>
          <w:r>
            <w:fldChar w:fldCharType="end"/>
          </w:r>
        </w:p>
      </w:sdtContent>
    </w:sdt>
    <w:p w14:paraId="0A95D05B" w14:textId="77777777" w:rsidR="004071C1" w:rsidRDefault="00000000">
      <w:pPr>
        <w:spacing w:after="160" w:line="259" w:lineRule="auto"/>
        <w:jc w:val="both"/>
      </w:pPr>
      <w:r>
        <w:rPr>
          <w:color w:val="2F5496"/>
          <w:sz w:val="32"/>
          <w:szCs w:val="32"/>
        </w:rPr>
        <w:lastRenderedPageBreak/>
        <w:t>EXECUTIVE SUMMARY</w:t>
      </w:r>
    </w:p>
    <w:p w14:paraId="3066E0B1" w14:textId="77777777" w:rsidR="00724ABB" w:rsidRDefault="00724ABB" w:rsidP="00BE3567">
      <w:pPr>
        <w:spacing w:after="160" w:line="259" w:lineRule="auto"/>
        <w:jc w:val="both"/>
      </w:pPr>
    </w:p>
    <w:p w14:paraId="19F5548A" w14:textId="5F16A6E3" w:rsidR="00A4195B" w:rsidRDefault="00937A80" w:rsidP="00BE3567">
      <w:pPr>
        <w:spacing w:after="160" w:line="259" w:lineRule="auto"/>
        <w:jc w:val="both"/>
      </w:pPr>
      <w:r w:rsidRPr="00937A80">
        <w:t xml:space="preserve">This deliverable presents the exploitation activities and plans developed within the </w:t>
      </w:r>
      <w:proofErr w:type="spellStart"/>
      <w:r w:rsidRPr="00937A80">
        <w:t>TiDiT</w:t>
      </w:r>
      <w:proofErr w:type="spellEnd"/>
      <w:r w:rsidRPr="00937A80">
        <w:t xml:space="preserve"> project by all consortium partners. It outlines how the project’s results, tools, and methodologies are being transformed into exploitable assets and commercial offerings. The focus of exploitation within </w:t>
      </w:r>
      <w:proofErr w:type="spellStart"/>
      <w:r w:rsidRPr="00937A80">
        <w:t>TiDiT</w:t>
      </w:r>
      <w:proofErr w:type="spellEnd"/>
      <w:r w:rsidRPr="00937A80">
        <w:t xml:space="preserve"> is to ensure sustainability beyond the project lifetime through product integration, commercialization, and community building around the Timeline-Driven Digital Twin (</w:t>
      </w:r>
      <w:proofErr w:type="spellStart"/>
      <w:r w:rsidRPr="00937A80">
        <w:t>DTaaS</w:t>
      </w:r>
      <w:proofErr w:type="spellEnd"/>
      <w:r w:rsidRPr="00937A80">
        <w:t>) platform.</w:t>
      </w:r>
    </w:p>
    <w:p w14:paraId="73B8E4A2" w14:textId="77777777" w:rsidR="004071C1" w:rsidRDefault="00BE3567">
      <w:pPr>
        <w:pStyle w:val="Heading1"/>
        <w:numPr>
          <w:ilvl w:val="0"/>
          <w:numId w:val="2"/>
        </w:numPr>
        <w:spacing w:before="240" w:after="80" w:line="259" w:lineRule="auto"/>
        <w:rPr>
          <w:color w:val="2F5496"/>
          <w:sz w:val="32"/>
          <w:szCs w:val="32"/>
        </w:rPr>
      </w:pPr>
      <w:bookmarkStart w:id="0" w:name="_Toc212629897"/>
      <w:r>
        <w:rPr>
          <w:color w:val="2F5496"/>
          <w:sz w:val="32"/>
          <w:szCs w:val="32"/>
        </w:rPr>
        <w:t>Objectives</w:t>
      </w:r>
      <w:bookmarkEnd w:id="0"/>
    </w:p>
    <w:p w14:paraId="17280507" w14:textId="77777777" w:rsidR="00BE3567" w:rsidRDefault="00BE3567" w:rsidP="00BE3567">
      <w:pPr>
        <w:spacing w:after="160" w:line="259" w:lineRule="auto"/>
        <w:jc w:val="both"/>
      </w:pPr>
    </w:p>
    <w:p w14:paraId="5CFE0B9E" w14:textId="77777777" w:rsidR="00937A80" w:rsidRDefault="00937A80" w:rsidP="00937A80">
      <w:pPr>
        <w:spacing w:after="200" w:line="240" w:lineRule="auto"/>
      </w:pPr>
      <w:r>
        <w:t>The objectives of Deliverable D6.2 were to:</w:t>
      </w:r>
    </w:p>
    <w:p w14:paraId="264C497E" w14:textId="77777777" w:rsidR="00937A80" w:rsidRDefault="00937A80" w:rsidP="00937A80">
      <w:pPr>
        <w:pStyle w:val="ListParagraph"/>
        <w:numPr>
          <w:ilvl w:val="0"/>
          <w:numId w:val="6"/>
        </w:numPr>
        <w:spacing w:after="200" w:line="240" w:lineRule="auto"/>
      </w:pPr>
      <w:r>
        <w:t xml:space="preserve">Identify exploitable results emerging from the </w:t>
      </w:r>
      <w:proofErr w:type="spellStart"/>
      <w:r>
        <w:t>TiDiT</w:t>
      </w:r>
      <w:proofErr w:type="spellEnd"/>
      <w:r>
        <w:t xml:space="preserve"> project.</w:t>
      </w:r>
    </w:p>
    <w:p w14:paraId="370B4986" w14:textId="77777777" w:rsidR="00937A80" w:rsidRDefault="00937A80" w:rsidP="00937A80">
      <w:pPr>
        <w:pStyle w:val="ListParagraph"/>
        <w:numPr>
          <w:ilvl w:val="0"/>
          <w:numId w:val="6"/>
        </w:numPr>
        <w:spacing w:after="200" w:line="240" w:lineRule="auto"/>
      </w:pPr>
      <w:r>
        <w:t>Define short-, mid-, and long-term exploitation strategies for each partner.</w:t>
      </w:r>
    </w:p>
    <w:p w14:paraId="49377275" w14:textId="77777777" w:rsidR="00937A80" w:rsidRDefault="00937A80" w:rsidP="00937A80">
      <w:pPr>
        <w:pStyle w:val="ListParagraph"/>
        <w:numPr>
          <w:ilvl w:val="0"/>
          <w:numId w:val="6"/>
        </w:numPr>
        <w:spacing w:after="200" w:line="240" w:lineRule="auto"/>
      </w:pPr>
      <w:r>
        <w:t>Establish a roadmap toward market introduction and industrial adoption.</w:t>
      </w:r>
    </w:p>
    <w:p w14:paraId="6DBE0E36" w14:textId="77777777" w:rsidR="00937A80" w:rsidRDefault="00937A80" w:rsidP="00937A80">
      <w:pPr>
        <w:pStyle w:val="ListParagraph"/>
        <w:numPr>
          <w:ilvl w:val="0"/>
          <w:numId w:val="6"/>
        </w:numPr>
        <w:spacing w:after="200" w:line="240" w:lineRule="auto"/>
      </w:pPr>
      <w:r>
        <w:t xml:space="preserve">Ensure sustainability of the </w:t>
      </w:r>
      <w:proofErr w:type="spellStart"/>
      <w:r>
        <w:t>TiDiT</w:t>
      </w:r>
      <w:proofErr w:type="spellEnd"/>
      <w:r>
        <w:t xml:space="preserve"> platform and its components beyond the project duration.</w:t>
      </w:r>
    </w:p>
    <w:p w14:paraId="5EC7A318" w14:textId="2F9477A0" w:rsidR="00937A80" w:rsidRDefault="00937A80" w:rsidP="00937A80">
      <w:pPr>
        <w:pStyle w:val="ListParagraph"/>
        <w:numPr>
          <w:ilvl w:val="0"/>
          <w:numId w:val="6"/>
        </w:numPr>
        <w:spacing w:after="200" w:line="240" w:lineRule="auto"/>
      </w:pPr>
      <w:r>
        <w:t>Strengthen Europe’s position in digital twin technologies through collaboration and standardization efforts.</w:t>
      </w:r>
    </w:p>
    <w:p w14:paraId="34C122B1" w14:textId="4D76951A" w:rsidR="004071C1" w:rsidRDefault="00937A80" w:rsidP="00937A80">
      <w:pPr>
        <w:spacing w:after="200" w:line="240" w:lineRule="auto"/>
        <w:rPr>
          <w:i/>
          <w:color w:val="44546A"/>
          <w:sz w:val="18"/>
          <w:szCs w:val="18"/>
        </w:rPr>
      </w:pPr>
      <w:r>
        <w:t>All objectives were successfully met, with measurable results in both commercial and collaborative domains.</w:t>
      </w:r>
    </w:p>
    <w:p w14:paraId="705CAF46" w14:textId="77777777" w:rsidR="000500B2" w:rsidRDefault="000500B2">
      <w:pPr>
        <w:spacing w:after="200" w:line="240" w:lineRule="auto"/>
        <w:rPr>
          <w:i/>
          <w:color w:val="44546A"/>
          <w:sz w:val="18"/>
          <w:szCs w:val="18"/>
        </w:rPr>
      </w:pPr>
    </w:p>
    <w:p w14:paraId="2EBD09E4" w14:textId="472DF48F" w:rsidR="004071C1" w:rsidRPr="00BE3567" w:rsidRDefault="00937A80" w:rsidP="00BE3567">
      <w:pPr>
        <w:pStyle w:val="ListParagraph"/>
        <w:numPr>
          <w:ilvl w:val="0"/>
          <w:numId w:val="2"/>
        </w:numPr>
        <w:rPr>
          <w:color w:val="2F5496"/>
          <w:sz w:val="32"/>
          <w:szCs w:val="32"/>
        </w:rPr>
      </w:pPr>
      <w:r w:rsidRPr="00937A80">
        <w:rPr>
          <w:color w:val="2F5496"/>
          <w:sz w:val="32"/>
          <w:szCs w:val="32"/>
        </w:rPr>
        <w:t>Exploitation Framework</w:t>
      </w:r>
    </w:p>
    <w:p w14:paraId="2531343D" w14:textId="77777777" w:rsidR="004071C1" w:rsidRDefault="004071C1"/>
    <w:p w14:paraId="6A98148A" w14:textId="77777777" w:rsidR="00937A80" w:rsidRDefault="00937A80" w:rsidP="00937A80">
      <w:r>
        <w:t xml:space="preserve">The </w:t>
      </w:r>
      <w:proofErr w:type="spellStart"/>
      <w:r>
        <w:t>TiDiT</w:t>
      </w:r>
      <w:proofErr w:type="spellEnd"/>
      <w:r>
        <w:t xml:space="preserve"> exploitation strategy was developed across three complementary levels:</w:t>
      </w:r>
    </w:p>
    <w:p w14:paraId="2A8D5FBB" w14:textId="77777777" w:rsidR="00937A80" w:rsidRDefault="00937A80" w:rsidP="00937A80"/>
    <w:p w14:paraId="6758F4BB" w14:textId="45231E47" w:rsidR="00937A80" w:rsidRDefault="00937A80" w:rsidP="00937A80">
      <w:pPr>
        <w:pStyle w:val="ListParagraph"/>
        <w:numPr>
          <w:ilvl w:val="0"/>
          <w:numId w:val="7"/>
        </w:numPr>
      </w:pPr>
      <w:r>
        <w:t>Partner-level exploitation:</w:t>
      </w:r>
    </w:p>
    <w:p w14:paraId="18B241D0" w14:textId="77777777" w:rsidR="00937A80" w:rsidRDefault="00937A80" w:rsidP="00937A80">
      <w:r>
        <w:t>Each partner analyzed its own exploitable outcomes (software components, algorithms, architectures, training materials) and defined specific business plans for integration into existing or new commercial products.</w:t>
      </w:r>
    </w:p>
    <w:p w14:paraId="7AE7B358" w14:textId="77777777" w:rsidR="00937A80" w:rsidRDefault="00937A80" w:rsidP="00937A80"/>
    <w:p w14:paraId="6A8B8CE5" w14:textId="099381D0" w:rsidR="00937A80" w:rsidRDefault="00937A80" w:rsidP="00937A80">
      <w:pPr>
        <w:pStyle w:val="ListParagraph"/>
        <w:numPr>
          <w:ilvl w:val="0"/>
          <w:numId w:val="7"/>
        </w:numPr>
      </w:pPr>
      <w:r>
        <w:t>Consortium-level exploitation:</w:t>
      </w:r>
    </w:p>
    <w:p w14:paraId="7BD99DDE" w14:textId="77777777" w:rsidR="00937A80" w:rsidRDefault="00937A80" w:rsidP="00937A80">
      <w:r>
        <w:t xml:space="preserve">Common assets such as the </w:t>
      </w:r>
      <w:proofErr w:type="spellStart"/>
      <w:r>
        <w:t>TiDiT</w:t>
      </w:r>
      <w:proofErr w:type="spellEnd"/>
      <w:r>
        <w:t xml:space="preserve"> core platform, APIs, SDK, and reference documentation were identified as shared exploitable results. These form the foundation for a coordinated roadmap toward industrial adoption and community building.</w:t>
      </w:r>
    </w:p>
    <w:p w14:paraId="6104EAF2" w14:textId="77777777" w:rsidR="00937A80" w:rsidRDefault="00937A80" w:rsidP="00937A80"/>
    <w:p w14:paraId="234DACB8" w14:textId="668A41A3" w:rsidR="00937A80" w:rsidRDefault="00937A80" w:rsidP="00937A80">
      <w:pPr>
        <w:pStyle w:val="ListParagraph"/>
        <w:numPr>
          <w:ilvl w:val="0"/>
          <w:numId w:val="7"/>
        </w:numPr>
      </w:pPr>
      <w:r>
        <w:t>Open ecosystem and standardization:</w:t>
      </w:r>
    </w:p>
    <w:p w14:paraId="005784AB" w14:textId="11709D82" w:rsidR="000500B2" w:rsidRDefault="00937A80" w:rsidP="00937A80">
      <w:pPr>
        <w:spacing w:after="200" w:line="240" w:lineRule="auto"/>
        <w:jc w:val="center"/>
      </w:pPr>
      <w:proofErr w:type="spellStart"/>
      <w:r>
        <w:t>TiDiT</w:t>
      </w:r>
      <w:proofErr w:type="spellEnd"/>
      <w:r>
        <w:t xml:space="preserve"> promotes interoperability and openness through semantic standards (FMI, FMU, SAREF, </w:t>
      </w:r>
      <w:proofErr w:type="spellStart"/>
      <w:r>
        <w:t>WoT</w:t>
      </w:r>
      <w:proofErr w:type="spellEnd"/>
      <w:r>
        <w:t xml:space="preserve">). The consortium is committed to sustaining and extending the platform under open-source or hybrid models to encourage third-party development and uptake. </w:t>
      </w:r>
    </w:p>
    <w:p w14:paraId="3AD916C7" w14:textId="77777777" w:rsidR="000500B2" w:rsidRDefault="000500B2" w:rsidP="000500B2">
      <w:pPr>
        <w:spacing w:after="200" w:line="240" w:lineRule="auto"/>
      </w:pPr>
    </w:p>
    <w:p w14:paraId="354B9527" w14:textId="7B8F02D5" w:rsidR="004071C1" w:rsidRDefault="00000000" w:rsidP="000500B2">
      <w:pPr>
        <w:spacing w:after="200" w:line="240" w:lineRule="auto"/>
      </w:pPr>
      <w:r>
        <w:rPr>
          <w:color w:val="2F5496"/>
          <w:sz w:val="26"/>
          <w:szCs w:val="26"/>
        </w:rPr>
        <w:t>2.2</w:t>
      </w:r>
      <w:r w:rsidR="0042627B" w:rsidRPr="0042627B">
        <w:rPr>
          <w:color w:val="2F5496"/>
          <w:sz w:val="26"/>
          <w:szCs w:val="26"/>
        </w:rPr>
        <w:tab/>
      </w:r>
      <w:r w:rsidR="00937A80" w:rsidRPr="00937A80">
        <w:rPr>
          <w:color w:val="2F5496"/>
          <w:sz w:val="26"/>
          <w:szCs w:val="26"/>
        </w:rPr>
        <w:t>Exploitation Roadmap</w:t>
      </w:r>
    </w:p>
    <w:p w14:paraId="69277DDC" w14:textId="77777777" w:rsidR="00937A80" w:rsidRPr="00937A80" w:rsidRDefault="00937A80" w:rsidP="00937A80">
      <w:pPr>
        <w:spacing w:before="240" w:line="240" w:lineRule="auto"/>
        <w:jc w:val="both"/>
      </w:pPr>
      <w:r w:rsidRPr="00937A80">
        <w:t>Short-Term (0–12 months after project end)</w:t>
      </w:r>
    </w:p>
    <w:p w14:paraId="7E9E45A7" w14:textId="77777777" w:rsidR="00937A80" w:rsidRDefault="00937A80" w:rsidP="00937A80">
      <w:pPr>
        <w:pStyle w:val="ListParagraph"/>
        <w:numPr>
          <w:ilvl w:val="0"/>
          <w:numId w:val="8"/>
        </w:numPr>
        <w:spacing w:before="240" w:line="240" w:lineRule="auto"/>
        <w:jc w:val="both"/>
      </w:pPr>
      <w:r>
        <w:t xml:space="preserve">Public release of the </w:t>
      </w:r>
      <w:proofErr w:type="spellStart"/>
      <w:r>
        <w:t>TiDiT</w:t>
      </w:r>
      <w:proofErr w:type="spellEnd"/>
      <w:r>
        <w:t xml:space="preserve"> core components (APIs, SDK, documentation).</w:t>
      </w:r>
    </w:p>
    <w:p w14:paraId="7264B05D" w14:textId="77777777" w:rsidR="00937A80" w:rsidRDefault="00937A80" w:rsidP="00937A80">
      <w:pPr>
        <w:pStyle w:val="ListParagraph"/>
        <w:numPr>
          <w:ilvl w:val="0"/>
          <w:numId w:val="8"/>
        </w:numPr>
        <w:spacing w:before="240" w:line="240" w:lineRule="auto"/>
        <w:jc w:val="both"/>
      </w:pPr>
      <w:r>
        <w:t>Launch of pilot extensions in the Smart Manufacturing and Elderly Care domains.</w:t>
      </w:r>
    </w:p>
    <w:p w14:paraId="5A8D2B4B" w14:textId="77777777" w:rsidR="00937A80" w:rsidRDefault="00937A80" w:rsidP="00937A80">
      <w:pPr>
        <w:pStyle w:val="ListParagraph"/>
        <w:numPr>
          <w:ilvl w:val="0"/>
          <w:numId w:val="8"/>
        </w:numPr>
        <w:spacing w:before="240" w:line="240" w:lineRule="auto"/>
        <w:jc w:val="both"/>
      </w:pPr>
      <w:r>
        <w:t>Organization of demonstration events, webinars, and technical showcases targeting early adopters.</w:t>
      </w:r>
    </w:p>
    <w:p w14:paraId="58A34598" w14:textId="284AD9AB" w:rsidR="00937A80" w:rsidRDefault="00937A80" w:rsidP="00937A80">
      <w:pPr>
        <w:pStyle w:val="ListParagraph"/>
        <w:numPr>
          <w:ilvl w:val="0"/>
          <w:numId w:val="8"/>
        </w:numPr>
        <w:spacing w:before="240" w:line="240" w:lineRule="auto"/>
        <w:jc w:val="both"/>
      </w:pPr>
      <w:r>
        <w:t xml:space="preserve">Establishment of the </w:t>
      </w:r>
      <w:proofErr w:type="spellStart"/>
      <w:r>
        <w:t>TiDiT</w:t>
      </w:r>
      <w:proofErr w:type="spellEnd"/>
      <w:r>
        <w:t xml:space="preserve"> Community Portal to support third-party developers.</w:t>
      </w:r>
    </w:p>
    <w:p w14:paraId="0AB1AD31" w14:textId="77777777" w:rsidR="00937A80" w:rsidRDefault="00937A80" w:rsidP="00937A80">
      <w:pPr>
        <w:spacing w:before="240" w:line="240" w:lineRule="auto"/>
        <w:jc w:val="both"/>
      </w:pPr>
    </w:p>
    <w:p w14:paraId="7895EEC9" w14:textId="77777777" w:rsidR="00937A80" w:rsidRDefault="00937A80" w:rsidP="00937A80">
      <w:pPr>
        <w:spacing w:before="240" w:line="240" w:lineRule="auto"/>
        <w:jc w:val="both"/>
      </w:pPr>
      <w:r>
        <w:t>Mid-Term (12–24 months)</w:t>
      </w:r>
    </w:p>
    <w:p w14:paraId="715EBBCE" w14:textId="77777777" w:rsidR="00937A80" w:rsidRDefault="00937A80" w:rsidP="00937A80">
      <w:pPr>
        <w:pStyle w:val="ListParagraph"/>
        <w:numPr>
          <w:ilvl w:val="0"/>
          <w:numId w:val="9"/>
        </w:numPr>
        <w:spacing w:before="240" w:line="240" w:lineRule="auto"/>
        <w:jc w:val="both"/>
      </w:pPr>
      <w:r>
        <w:t xml:space="preserve">Integration of </w:t>
      </w:r>
      <w:proofErr w:type="spellStart"/>
      <w:r>
        <w:t>TiDiT</w:t>
      </w:r>
      <w:proofErr w:type="spellEnd"/>
      <w:r>
        <w:t xml:space="preserve"> components into partners’ commercial portfolios (e.g., HICAMP by INNOVA, </w:t>
      </w:r>
      <w:proofErr w:type="spellStart"/>
      <w:r>
        <w:t>SkywaveIoT</w:t>
      </w:r>
      <w:proofErr w:type="spellEnd"/>
      <w:r>
        <w:t>, BITES digital transformation platforms).</w:t>
      </w:r>
    </w:p>
    <w:p w14:paraId="246A38FB" w14:textId="77777777" w:rsidR="00937A80" w:rsidRDefault="00937A80" w:rsidP="00937A80">
      <w:pPr>
        <w:pStyle w:val="ListParagraph"/>
        <w:numPr>
          <w:ilvl w:val="0"/>
          <w:numId w:val="9"/>
        </w:numPr>
        <w:spacing w:before="240" w:line="240" w:lineRule="auto"/>
        <w:jc w:val="both"/>
      </w:pPr>
      <w:r>
        <w:t>Commercialization of consultancy and training services for clients adopting digital twin solutions.</w:t>
      </w:r>
    </w:p>
    <w:p w14:paraId="429329F3" w14:textId="77777777" w:rsidR="00937A80" w:rsidRDefault="00937A80" w:rsidP="00937A80">
      <w:pPr>
        <w:pStyle w:val="ListParagraph"/>
        <w:numPr>
          <w:ilvl w:val="0"/>
          <w:numId w:val="9"/>
        </w:numPr>
        <w:spacing w:before="240" w:line="240" w:lineRule="auto"/>
        <w:jc w:val="both"/>
      </w:pPr>
      <w:r>
        <w:t xml:space="preserve">Expansion of the </w:t>
      </w:r>
      <w:proofErr w:type="spellStart"/>
      <w:r>
        <w:t>TiDiT</w:t>
      </w:r>
      <w:proofErr w:type="spellEnd"/>
      <w:r>
        <w:t xml:space="preserve"> Marketplace for add-ons, data analytics modules, and simulation services.</w:t>
      </w:r>
    </w:p>
    <w:p w14:paraId="35DBD3F9" w14:textId="47A5E6C7" w:rsidR="00937A80" w:rsidRDefault="00937A80" w:rsidP="00937A80">
      <w:pPr>
        <w:pStyle w:val="ListParagraph"/>
        <w:numPr>
          <w:ilvl w:val="0"/>
          <w:numId w:val="9"/>
        </w:numPr>
        <w:spacing w:before="240" w:line="240" w:lineRule="auto"/>
        <w:jc w:val="both"/>
      </w:pPr>
      <w:r>
        <w:t>Publication of anonymized datasets for research reuse and collaboration.</w:t>
      </w:r>
    </w:p>
    <w:p w14:paraId="4D5FD1AC" w14:textId="77777777" w:rsidR="00937A80" w:rsidRDefault="00937A80" w:rsidP="00937A80">
      <w:pPr>
        <w:spacing w:before="240" w:line="240" w:lineRule="auto"/>
        <w:jc w:val="both"/>
      </w:pPr>
    </w:p>
    <w:p w14:paraId="6E875D1B" w14:textId="33CD4814" w:rsidR="009920AD" w:rsidRDefault="009920AD" w:rsidP="00937A80">
      <w:pPr>
        <w:spacing w:before="240" w:line="240" w:lineRule="auto"/>
        <w:jc w:val="both"/>
      </w:pPr>
      <w:r>
        <w:t> </w:t>
      </w:r>
      <w:r>
        <w:rPr>
          <w:noProof/>
        </w:rPr>
        <w:drawing>
          <wp:inline distT="0" distB="0" distL="0" distR="0" wp14:anchorId="2F0F3293" wp14:editId="190A1B7D">
            <wp:extent cx="5401945" cy="1097280"/>
            <wp:effectExtent l="0" t="0" r="0" b="0"/>
            <wp:docPr id="2050750149" name="Picture 9" descr="A person in a suit looking at 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erson in a suit looking at a person in a s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45" cy="1097280"/>
                    </a:xfrm>
                    <a:prstGeom prst="rect">
                      <a:avLst/>
                    </a:prstGeom>
                    <a:noFill/>
                    <a:ln>
                      <a:noFill/>
                    </a:ln>
                  </pic:spPr>
                </pic:pic>
              </a:graphicData>
            </a:graphic>
          </wp:inline>
        </w:drawing>
      </w:r>
    </w:p>
    <w:p w14:paraId="396FFC3C" w14:textId="77777777" w:rsidR="009920AD" w:rsidRDefault="009920AD" w:rsidP="00937A80">
      <w:pPr>
        <w:spacing w:before="240" w:line="240" w:lineRule="auto"/>
        <w:jc w:val="both"/>
      </w:pPr>
    </w:p>
    <w:p w14:paraId="7A1C9434" w14:textId="1D2B2F19" w:rsidR="009920AD" w:rsidRDefault="009920AD" w:rsidP="00937A80">
      <w:pPr>
        <w:spacing w:before="240" w:line="240" w:lineRule="auto"/>
        <w:jc w:val="both"/>
      </w:pPr>
      <w:r>
        <w:t> </w:t>
      </w:r>
      <w:r>
        <w:rPr>
          <w:noProof/>
        </w:rPr>
        <w:drawing>
          <wp:inline distT="0" distB="0" distL="0" distR="0" wp14:anchorId="765E30E8" wp14:editId="19BDB08F">
            <wp:extent cx="5401945" cy="1097280"/>
            <wp:effectExtent l="0" t="0" r="0" b="0"/>
            <wp:docPr id="178792355" name="Picture 10"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hit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1097280"/>
                    </a:xfrm>
                    <a:prstGeom prst="rect">
                      <a:avLst/>
                    </a:prstGeom>
                    <a:noFill/>
                    <a:ln>
                      <a:noFill/>
                    </a:ln>
                  </pic:spPr>
                </pic:pic>
              </a:graphicData>
            </a:graphic>
          </wp:inline>
        </w:drawing>
      </w:r>
    </w:p>
    <w:p w14:paraId="3EC18129" w14:textId="77777777" w:rsidR="009920AD" w:rsidRDefault="009920AD" w:rsidP="00937A80">
      <w:pPr>
        <w:spacing w:before="240" w:line="240" w:lineRule="auto"/>
        <w:jc w:val="both"/>
      </w:pPr>
    </w:p>
    <w:p w14:paraId="216D89D0" w14:textId="06C2DEAF" w:rsidR="009920AD" w:rsidRDefault="009920AD" w:rsidP="00937A80">
      <w:pPr>
        <w:spacing w:before="240" w:line="240" w:lineRule="auto"/>
        <w:jc w:val="both"/>
      </w:pPr>
      <w:r>
        <w:lastRenderedPageBreak/>
        <w:t> </w:t>
      </w:r>
      <w:r>
        <w:rPr>
          <w:noProof/>
        </w:rPr>
        <w:drawing>
          <wp:inline distT="0" distB="0" distL="0" distR="0" wp14:anchorId="41F467BD" wp14:editId="3F8259FC">
            <wp:extent cx="5401945" cy="1097280"/>
            <wp:effectExtent l="0" t="0" r="0" b="0"/>
            <wp:docPr id="947169488" name="Picture 11" descr="A close up of a person&amp;#39;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person&amp;#39;s 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945" cy="1097280"/>
                    </a:xfrm>
                    <a:prstGeom prst="rect">
                      <a:avLst/>
                    </a:prstGeom>
                    <a:noFill/>
                    <a:ln>
                      <a:noFill/>
                    </a:ln>
                  </pic:spPr>
                </pic:pic>
              </a:graphicData>
            </a:graphic>
          </wp:inline>
        </w:drawing>
      </w:r>
    </w:p>
    <w:p w14:paraId="0E5E2A5D" w14:textId="77777777" w:rsidR="009920AD" w:rsidRDefault="009920AD" w:rsidP="00937A80">
      <w:pPr>
        <w:spacing w:before="240" w:line="240" w:lineRule="auto"/>
        <w:jc w:val="both"/>
      </w:pPr>
    </w:p>
    <w:p w14:paraId="6FFB81A2" w14:textId="77777777" w:rsidR="00937A80" w:rsidRDefault="00937A80" w:rsidP="00937A80">
      <w:pPr>
        <w:spacing w:before="240" w:line="240" w:lineRule="auto"/>
        <w:jc w:val="both"/>
      </w:pPr>
      <w:r>
        <w:t>Long-Term (24+ months)</w:t>
      </w:r>
    </w:p>
    <w:p w14:paraId="3382FEC1" w14:textId="77777777" w:rsidR="00937A80" w:rsidRDefault="00937A80" w:rsidP="00937A80">
      <w:pPr>
        <w:pStyle w:val="ListParagraph"/>
        <w:numPr>
          <w:ilvl w:val="0"/>
          <w:numId w:val="10"/>
        </w:numPr>
        <w:spacing w:before="240" w:line="240" w:lineRule="auto"/>
        <w:jc w:val="both"/>
      </w:pPr>
      <w:r>
        <w:t xml:space="preserve">Formation of a </w:t>
      </w:r>
      <w:proofErr w:type="spellStart"/>
      <w:r>
        <w:t>TiDiT</w:t>
      </w:r>
      <w:proofErr w:type="spellEnd"/>
      <w:r>
        <w:t xml:space="preserve"> Alliance connecting European SMEs, universities, and industry partners.</w:t>
      </w:r>
    </w:p>
    <w:p w14:paraId="41A187E7" w14:textId="77777777" w:rsidR="00937A80" w:rsidRDefault="00937A80" w:rsidP="00937A80">
      <w:pPr>
        <w:pStyle w:val="ListParagraph"/>
        <w:numPr>
          <w:ilvl w:val="0"/>
          <w:numId w:val="10"/>
        </w:numPr>
        <w:spacing w:before="240" w:line="240" w:lineRule="auto"/>
        <w:jc w:val="both"/>
      </w:pPr>
      <w:r>
        <w:t>Extension of the platform toward new sectors such as energy, logistics, and urban planning.</w:t>
      </w:r>
    </w:p>
    <w:p w14:paraId="07326A30" w14:textId="51FBBD7F" w:rsidR="004071C1" w:rsidRDefault="00937A80" w:rsidP="00937A80">
      <w:pPr>
        <w:pStyle w:val="ListParagraph"/>
        <w:numPr>
          <w:ilvl w:val="0"/>
          <w:numId w:val="10"/>
        </w:numPr>
        <w:spacing w:before="240" w:line="240" w:lineRule="auto"/>
        <w:jc w:val="both"/>
      </w:pPr>
      <w:r>
        <w:t xml:space="preserve">Establishment of a self-sustaining business model through subscription-based </w:t>
      </w:r>
      <w:proofErr w:type="spellStart"/>
      <w:r>
        <w:t>DTaaS</w:t>
      </w:r>
      <w:proofErr w:type="spellEnd"/>
      <w:r>
        <w:t xml:space="preserve"> services, certification, and marketplace revenues.</w:t>
      </w:r>
      <w:r w:rsidR="00A4195B">
        <w:br/>
      </w:r>
    </w:p>
    <w:p w14:paraId="59E25323" w14:textId="77777777" w:rsidR="00A4195B" w:rsidRDefault="00A4195B">
      <w:pPr>
        <w:spacing w:before="240" w:line="240" w:lineRule="auto"/>
        <w:jc w:val="both"/>
      </w:pPr>
    </w:p>
    <w:p w14:paraId="5A9C40AD" w14:textId="1D4B69CA" w:rsidR="004071C1" w:rsidRDefault="00000000">
      <w:pPr>
        <w:pStyle w:val="Heading2"/>
        <w:spacing w:before="40" w:after="80" w:line="259" w:lineRule="auto"/>
      </w:pPr>
      <w:bookmarkStart w:id="1" w:name="_Toc212629898"/>
      <w:r>
        <w:rPr>
          <w:color w:val="2F5496"/>
          <w:sz w:val="26"/>
          <w:szCs w:val="26"/>
        </w:rPr>
        <w:t xml:space="preserve">2.3 </w:t>
      </w:r>
      <w:r w:rsidR="00937A80" w:rsidRPr="00937A80">
        <w:rPr>
          <w:color w:val="2F5496"/>
          <w:sz w:val="26"/>
          <w:szCs w:val="26"/>
        </w:rPr>
        <w:t>Exploitation Mechanisms</w:t>
      </w:r>
      <w:bookmarkEnd w:id="1"/>
    </w:p>
    <w:p w14:paraId="61D24A5F" w14:textId="77777777" w:rsidR="00937A80" w:rsidRDefault="00937A80" w:rsidP="00A4195B">
      <w:pPr>
        <w:jc w:val="both"/>
      </w:pPr>
    </w:p>
    <w:p w14:paraId="28F5ACC5" w14:textId="77777777" w:rsidR="00937A80" w:rsidRPr="00937A80" w:rsidRDefault="00937A80" w:rsidP="00937A80">
      <w:pPr>
        <w:numPr>
          <w:ilvl w:val="0"/>
          <w:numId w:val="11"/>
        </w:numPr>
        <w:jc w:val="both"/>
        <w:rPr>
          <w:lang w:val="en-SI"/>
        </w:rPr>
      </w:pPr>
      <w:r w:rsidRPr="00937A80">
        <w:rPr>
          <w:b/>
          <w:bCs/>
          <w:lang w:val="en-SI"/>
        </w:rPr>
        <w:t>DTaaS Commercial Model:</w:t>
      </w:r>
      <w:r w:rsidRPr="00937A80">
        <w:rPr>
          <w:lang w:val="en-SI"/>
        </w:rPr>
        <w:t xml:space="preserve"> Tiered subscription plans (basic, professional, enterprise) allowing clients to access cloud-based digital twin capabilities on demand.</w:t>
      </w:r>
    </w:p>
    <w:p w14:paraId="73F1BFC1" w14:textId="77777777" w:rsidR="00937A80" w:rsidRPr="00937A80" w:rsidRDefault="00937A80" w:rsidP="00937A80">
      <w:pPr>
        <w:numPr>
          <w:ilvl w:val="0"/>
          <w:numId w:val="11"/>
        </w:numPr>
        <w:jc w:val="both"/>
        <w:rPr>
          <w:lang w:val="en-SI"/>
        </w:rPr>
      </w:pPr>
      <w:r w:rsidRPr="00937A80">
        <w:rPr>
          <w:b/>
          <w:bCs/>
          <w:lang w:val="en-SI"/>
        </w:rPr>
        <w:t>Consulting and Integration Services:</w:t>
      </w:r>
      <w:r w:rsidRPr="00937A80">
        <w:rPr>
          <w:lang w:val="en-SI"/>
        </w:rPr>
        <w:t xml:space="preserve"> Custom deployments, ontology mapping, and domain-specific extensions offered by consortium partners.</w:t>
      </w:r>
    </w:p>
    <w:p w14:paraId="1C56462D" w14:textId="77777777" w:rsidR="00937A80" w:rsidRPr="00937A80" w:rsidRDefault="00937A80" w:rsidP="00937A80">
      <w:pPr>
        <w:numPr>
          <w:ilvl w:val="0"/>
          <w:numId w:val="11"/>
        </w:numPr>
        <w:jc w:val="both"/>
        <w:rPr>
          <w:lang w:val="en-SI"/>
        </w:rPr>
      </w:pPr>
      <w:r w:rsidRPr="00937A80">
        <w:rPr>
          <w:b/>
          <w:bCs/>
          <w:lang w:val="en-SI"/>
        </w:rPr>
        <w:t>Training and Certification:</w:t>
      </w:r>
      <w:r w:rsidRPr="00937A80">
        <w:rPr>
          <w:lang w:val="en-SI"/>
        </w:rPr>
        <w:t xml:space="preserve"> Professional courses to ensure adoption and capacity building for industrial and academic users.</w:t>
      </w:r>
    </w:p>
    <w:p w14:paraId="34CEF7F4" w14:textId="77777777" w:rsidR="00937A80" w:rsidRPr="00937A80" w:rsidRDefault="00937A80" w:rsidP="00937A80">
      <w:pPr>
        <w:numPr>
          <w:ilvl w:val="0"/>
          <w:numId w:val="11"/>
        </w:numPr>
        <w:jc w:val="both"/>
        <w:rPr>
          <w:lang w:val="en-SI"/>
        </w:rPr>
      </w:pPr>
      <w:r w:rsidRPr="00937A80">
        <w:rPr>
          <w:b/>
          <w:bCs/>
          <w:lang w:val="en-SI"/>
        </w:rPr>
        <w:t>Marketplace for Add-Ons:</w:t>
      </w:r>
      <w:r w:rsidRPr="00937A80">
        <w:rPr>
          <w:lang w:val="en-SI"/>
        </w:rPr>
        <w:t xml:space="preserve"> Revenue-sharing model enabling third-party developers to publish and monetize TiDiT-compatible modules.</w:t>
      </w:r>
    </w:p>
    <w:p w14:paraId="030B09AF" w14:textId="77777777" w:rsidR="00937A80" w:rsidRPr="00937A80" w:rsidRDefault="00937A80" w:rsidP="00937A80">
      <w:pPr>
        <w:numPr>
          <w:ilvl w:val="0"/>
          <w:numId w:val="11"/>
        </w:numPr>
        <w:jc w:val="both"/>
        <w:rPr>
          <w:lang w:val="en-SI"/>
        </w:rPr>
      </w:pPr>
      <w:r w:rsidRPr="00937A80">
        <w:rPr>
          <w:b/>
          <w:bCs/>
          <w:lang w:val="en-SI"/>
        </w:rPr>
        <w:t>Open-Source Access:</w:t>
      </w:r>
      <w:r w:rsidRPr="00937A80">
        <w:rPr>
          <w:lang w:val="en-SI"/>
        </w:rPr>
        <w:t xml:space="preserve"> Release of selected base components under a permissive license to stimulate innovation and ecosystem growth.</w:t>
      </w:r>
    </w:p>
    <w:p w14:paraId="414BFFD4" w14:textId="77777777" w:rsidR="00937A80" w:rsidRDefault="00937A80" w:rsidP="00A4195B">
      <w:pPr>
        <w:jc w:val="both"/>
      </w:pPr>
    </w:p>
    <w:p w14:paraId="7D33DEEE" w14:textId="77777777" w:rsidR="00A4195B" w:rsidRDefault="00A4195B" w:rsidP="0042627B"/>
    <w:p w14:paraId="49FC4952" w14:textId="77777777" w:rsidR="00A4195B" w:rsidRDefault="00A4195B" w:rsidP="0042627B"/>
    <w:p w14:paraId="6E95A82D" w14:textId="13657D07" w:rsidR="004071C1" w:rsidRDefault="00000000">
      <w:pPr>
        <w:pStyle w:val="Heading2"/>
        <w:spacing w:before="40" w:after="80" w:line="259" w:lineRule="auto"/>
        <w:rPr>
          <w:sz w:val="22"/>
          <w:szCs w:val="22"/>
        </w:rPr>
      </w:pPr>
      <w:bookmarkStart w:id="2" w:name="_Toc212629899"/>
      <w:r>
        <w:rPr>
          <w:color w:val="2F5496"/>
          <w:sz w:val="26"/>
          <w:szCs w:val="26"/>
        </w:rPr>
        <w:t xml:space="preserve">2.4 </w:t>
      </w:r>
      <w:r w:rsidR="00937A80" w:rsidRPr="00937A80">
        <w:rPr>
          <w:color w:val="2F5496"/>
          <w:sz w:val="26"/>
          <w:szCs w:val="26"/>
        </w:rPr>
        <w:t>Partner Exploitation Plans</w:t>
      </w:r>
      <w:bookmarkEnd w:id="2"/>
    </w:p>
    <w:p w14:paraId="7E61BAEF" w14:textId="77777777" w:rsidR="00A4195B" w:rsidRDefault="00A4195B"/>
    <w:p w14:paraId="5BAF77A9" w14:textId="77777777" w:rsidR="00937A80" w:rsidRPr="00937A80" w:rsidRDefault="00937A80" w:rsidP="00937A80">
      <w:pPr>
        <w:jc w:val="both"/>
        <w:rPr>
          <w:b/>
          <w:bCs/>
          <w:lang w:val="en-SI"/>
        </w:rPr>
      </w:pPr>
      <w:r w:rsidRPr="00937A80">
        <w:rPr>
          <w:b/>
          <w:bCs/>
          <w:lang w:val="en-SI"/>
        </w:rPr>
        <w:t>Caretronic d.o.o. (CRT – WP6 Lead)</w:t>
      </w:r>
    </w:p>
    <w:p w14:paraId="758E68E8" w14:textId="77777777" w:rsidR="00937A80" w:rsidRDefault="00937A80" w:rsidP="00937A80">
      <w:pPr>
        <w:jc w:val="both"/>
        <w:rPr>
          <w:lang w:val="en-SI"/>
        </w:rPr>
      </w:pPr>
      <w:r w:rsidRPr="00937A80">
        <w:rPr>
          <w:lang w:val="en-SI"/>
        </w:rPr>
        <w:t xml:space="preserve">Caretronic integrates TiDiT outcomes within its </w:t>
      </w:r>
      <w:r w:rsidRPr="00937A80">
        <w:rPr>
          <w:b/>
          <w:bCs/>
          <w:lang w:val="en-SI"/>
        </w:rPr>
        <w:t>Elderly Care use case</w:t>
      </w:r>
      <w:r w:rsidRPr="00937A80">
        <w:rPr>
          <w:lang w:val="en-SI"/>
        </w:rPr>
        <w:t xml:space="preserve">, applying digital twin models to streamline healthcare documentation, automate monitoring, and enhance patient safety. Through its international distributor network in </w:t>
      </w:r>
      <w:r w:rsidRPr="00937A80">
        <w:rPr>
          <w:b/>
          <w:bCs/>
          <w:lang w:val="en-SI"/>
        </w:rPr>
        <w:t>over 40 countries</w:t>
      </w:r>
      <w:r w:rsidRPr="00937A80">
        <w:rPr>
          <w:lang w:val="en-SI"/>
        </w:rPr>
        <w:t xml:space="preserve">, CRT plans to commercialize TiDiT-based modules in collaboration with telecom providers and healthcare institutions. A business model for integrating TiDiT services into </w:t>
      </w:r>
      <w:r w:rsidRPr="00937A80">
        <w:rPr>
          <w:b/>
          <w:bCs/>
          <w:lang w:val="en-SI"/>
        </w:rPr>
        <w:t>CareSense</w:t>
      </w:r>
      <w:r w:rsidRPr="00937A80">
        <w:rPr>
          <w:lang w:val="en-SI"/>
        </w:rPr>
        <w:t xml:space="preserve"> </w:t>
      </w:r>
      <w:r w:rsidRPr="00937A80">
        <w:rPr>
          <w:lang w:val="en-SI"/>
        </w:rPr>
        <w:lastRenderedPageBreak/>
        <w:t xml:space="preserve">and </w:t>
      </w:r>
      <w:r w:rsidRPr="00937A80">
        <w:rPr>
          <w:b/>
          <w:bCs/>
          <w:lang w:val="en-SI"/>
        </w:rPr>
        <w:t>SeniorCarePro</w:t>
      </w:r>
      <w:r w:rsidRPr="00937A80">
        <w:rPr>
          <w:lang w:val="en-SI"/>
        </w:rPr>
        <w:t xml:space="preserve"> product lines has been defined, ensuring market continuity and revenue generation post-project.</w:t>
      </w:r>
    </w:p>
    <w:p w14:paraId="3A087943" w14:textId="77777777" w:rsidR="009920AD" w:rsidRDefault="009920AD" w:rsidP="00937A80">
      <w:pPr>
        <w:jc w:val="both"/>
        <w:rPr>
          <w:lang w:val="en-SI"/>
        </w:rPr>
      </w:pPr>
    </w:p>
    <w:p w14:paraId="718907C2" w14:textId="4A0D91B1" w:rsidR="009920AD" w:rsidRDefault="009920AD" w:rsidP="00937A80">
      <w:pPr>
        <w:jc w:val="both"/>
      </w:pPr>
      <w:r>
        <w:t> </w:t>
      </w:r>
      <w:r>
        <w:rPr>
          <w:noProof/>
        </w:rPr>
        <w:drawing>
          <wp:inline distT="0" distB="0" distL="0" distR="0" wp14:anchorId="717F8FAC" wp14:editId="3DFB098A">
            <wp:extent cx="5401945" cy="2985135"/>
            <wp:effectExtent l="0" t="0" r="0" b="0"/>
            <wp:docPr id="1007423578" name="Picture 8" descr="A map of the world with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23578" name="Picture 8" descr="A map of the world with heart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1945" cy="2985135"/>
                    </a:xfrm>
                    <a:prstGeom prst="rect">
                      <a:avLst/>
                    </a:prstGeom>
                    <a:noFill/>
                    <a:ln>
                      <a:noFill/>
                    </a:ln>
                  </pic:spPr>
                </pic:pic>
              </a:graphicData>
            </a:graphic>
          </wp:inline>
        </w:drawing>
      </w:r>
    </w:p>
    <w:p w14:paraId="09AF5D2D" w14:textId="77777777" w:rsidR="009920AD" w:rsidRDefault="009920AD" w:rsidP="00937A80">
      <w:pPr>
        <w:jc w:val="both"/>
      </w:pPr>
    </w:p>
    <w:p w14:paraId="22FE1D6E" w14:textId="77777777" w:rsidR="009920AD" w:rsidRDefault="009920AD" w:rsidP="00937A80">
      <w:pPr>
        <w:jc w:val="both"/>
      </w:pPr>
    </w:p>
    <w:p w14:paraId="02EA037E" w14:textId="77777777" w:rsidR="009920AD" w:rsidRPr="00937A80" w:rsidRDefault="009920AD" w:rsidP="00937A80">
      <w:pPr>
        <w:jc w:val="both"/>
        <w:rPr>
          <w:lang w:val="en-SI"/>
        </w:rPr>
      </w:pPr>
    </w:p>
    <w:p w14:paraId="735B764D" w14:textId="77777777" w:rsidR="00937A80" w:rsidRPr="00937A80" w:rsidRDefault="00937A80" w:rsidP="00937A80">
      <w:pPr>
        <w:jc w:val="both"/>
        <w:rPr>
          <w:lang w:val="en-SI"/>
        </w:rPr>
      </w:pPr>
    </w:p>
    <w:p w14:paraId="16D66914" w14:textId="77777777" w:rsidR="00937A80" w:rsidRPr="00937A80" w:rsidRDefault="00937A80" w:rsidP="00937A80">
      <w:pPr>
        <w:jc w:val="both"/>
        <w:rPr>
          <w:b/>
          <w:bCs/>
          <w:lang w:val="en-SI"/>
        </w:rPr>
      </w:pPr>
      <w:r w:rsidRPr="00937A80">
        <w:rPr>
          <w:b/>
          <w:bCs/>
          <w:lang w:val="en-SI"/>
        </w:rPr>
        <w:t>BITES (Turkey)</w:t>
      </w:r>
    </w:p>
    <w:p w14:paraId="3A89D68B" w14:textId="77777777" w:rsidR="00937A80" w:rsidRPr="00937A80" w:rsidRDefault="00937A80" w:rsidP="00937A80">
      <w:pPr>
        <w:jc w:val="both"/>
        <w:rPr>
          <w:lang w:val="en-SI"/>
        </w:rPr>
      </w:pPr>
      <w:r w:rsidRPr="00937A80">
        <w:rPr>
          <w:lang w:val="en-SI"/>
        </w:rPr>
        <w:t xml:space="preserve">BITES will integrate TiDiT’s modular </w:t>
      </w:r>
      <w:r w:rsidRPr="00937A80">
        <w:rPr>
          <w:b/>
          <w:bCs/>
          <w:lang w:val="en-SI"/>
        </w:rPr>
        <w:t>DTaaS architecture</w:t>
      </w:r>
      <w:r w:rsidRPr="00937A80">
        <w:rPr>
          <w:lang w:val="en-SI"/>
        </w:rPr>
        <w:t xml:space="preserve"> into its digital transformation portfolio, extending simulation, predictive maintenance, and AI analytics capabilities. The company plans commercial DTaaS offerings leveraging TiDiT’s open-source foundation, focusing on </w:t>
      </w:r>
      <w:r w:rsidRPr="00937A80">
        <w:rPr>
          <w:b/>
          <w:bCs/>
          <w:lang w:val="en-SI"/>
        </w:rPr>
        <w:t>manufacturing, defense, and smart infrastructure</w:t>
      </w:r>
      <w:r w:rsidRPr="00937A80">
        <w:rPr>
          <w:lang w:val="en-SI"/>
        </w:rPr>
        <w:t xml:space="preserve"> sectors. BITES will also adapt TiDiT’s </w:t>
      </w:r>
      <w:r w:rsidRPr="00937A80">
        <w:rPr>
          <w:b/>
          <w:bCs/>
          <w:lang w:val="en-SI"/>
        </w:rPr>
        <w:t>AI and Edge microservices</w:t>
      </w:r>
      <w:r w:rsidRPr="00937A80">
        <w:rPr>
          <w:lang w:val="en-SI"/>
        </w:rPr>
        <w:t xml:space="preserve"> into deployable modules compatible with its proprietary platforms and continue exploiting results through participation in new ITEA and Horizon Europe projects.</w:t>
      </w:r>
    </w:p>
    <w:p w14:paraId="54F867C3" w14:textId="77777777" w:rsidR="00937A80" w:rsidRPr="00937A80" w:rsidRDefault="00937A80" w:rsidP="00937A80">
      <w:pPr>
        <w:jc w:val="both"/>
        <w:rPr>
          <w:lang w:val="en-SI"/>
        </w:rPr>
      </w:pPr>
    </w:p>
    <w:p w14:paraId="58B198CD" w14:textId="77777777" w:rsidR="00937A80" w:rsidRPr="00937A80" w:rsidRDefault="00937A80" w:rsidP="00937A80">
      <w:pPr>
        <w:jc w:val="both"/>
        <w:rPr>
          <w:b/>
          <w:bCs/>
          <w:lang w:val="en-SI"/>
        </w:rPr>
      </w:pPr>
      <w:r w:rsidRPr="00937A80">
        <w:rPr>
          <w:b/>
          <w:bCs/>
          <w:lang w:val="en-SI"/>
        </w:rPr>
        <w:t>INNOVA (Turkey)</w:t>
      </w:r>
    </w:p>
    <w:p w14:paraId="303FDF11" w14:textId="77777777" w:rsidR="00937A80" w:rsidRPr="00937A80" w:rsidRDefault="00937A80" w:rsidP="00937A80">
      <w:pPr>
        <w:jc w:val="both"/>
        <w:rPr>
          <w:lang w:val="en-SI"/>
        </w:rPr>
      </w:pPr>
      <w:r w:rsidRPr="00937A80">
        <w:rPr>
          <w:lang w:val="en-SI"/>
        </w:rPr>
        <w:t xml:space="preserve">INNOVA will exploit TiDiT through its </w:t>
      </w:r>
      <w:r w:rsidRPr="00937A80">
        <w:rPr>
          <w:b/>
          <w:bCs/>
          <w:lang w:val="en-SI"/>
        </w:rPr>
        <w:t>Health Integrated Campus (HICAMP)</w:t>
      </w:r>
      <w:r w:rsidRPr="00937A80">
        <w:rPr>
          <w:lang w:val="en-SI"/>
        </w:rPr>
        <w:t xml:space="preserve"> middleware and smart manufacturing solutions. TiDiT technology will be integrated into predictive maintenance, energy efficiency, and process optimization services. INNOVA also secured a </w:t>
      </w:r>
      <w:r w:rsidRPr="00937A80">
        <w:rPr>
          <w:b/>
          <w:bCs/>
          <w:lang w:val="en-SI"/>
        </w:rPr>
        <w:t>commercial contract with a major telecom operator</w:t>
      </w:r>
      <w:r w:rsidRPr="00937A80">
        <w:rPr>
          <w:lang w:val="en-SI"/>
        </w:rPr>
        <w:t xml:space="preserve"> to deploy TiDiT outcomes in real-world network monitoring scenarios. The company intends to reuse TiDiT as a baseline platform for future EU projects and consultancy services across telecommunications, energy, and healthcare sectors.</w:t>
      </w:r>
    </w:p>
    <w:p w14:paraId="1D5D6CEA" w14:textId="77777777" w:rsidR="00937A80" w:rsidRPr="00937A80" w:rsidRDefault="00937A80" w:rsidP="00937A80">
      <w:pPr>
        <w:jc w:val="both"/>
        <w:rPr>
          <w:lang w:val="en-SI"/>
        </w:rPr>
      </w:pPr>
    </w:p>
    <w:p w14:paraId="24280967" w14:textId="77777777" w:rsidR="00937A80" w:rsidRPr="00937A80" w:rsidRDefault="00937A80" w:rsidP="00937A80">
      <w:pPr>
        <w:jc w:val="both"/>
        <w:rPr>
          <w:b/>
          <w:bCs/>
          <w:lang w:val="en-SI"/>
        </w:rPr>
      </w:pPr>
      <w:r w:rsidRPr="00937A80">
        <w:rPr>
          <w:b/>
          <w:bCs/>
          <w:lang w:val="en-SI"/>
        </w:rPr>
        <w:t>Bewell (Italy)</w:t>
      </w:r>
    </w:p>
    <w:p w14:paraId="2EFD7755" w14:textId="77777777" w:rsidR="00937A80" w:rsidRPr="00937A80" w:rsidRDefault="00937A80" w:rsidP="00937A80">
      <w:pPr>
        <w:jc w:val="both"/>
        <w:rPr>
          <w:lang w:val="en-SI"/>
        </w:rPr>
      </w:pPr>
      <w:r w:rsidRPr="00937A80">
        <w:rPr>
          <w:lang w:val="en-SI"/>
        </w:rPr>
        <w:lastRenderedPageBreak/>
        <w:t xml:space="preserve">Bewell plans to leverage TiDiT’s timeline-driven digital twin capabilities in its industrial and simulation service offerings, particularly in </w:t>
      </w:r>
      <w:r w:rsidRPr="00937A80">
        <w:rPr>
          <w:b/>
          <w:bCs/>
          <w:lang w:val="en-SI"/>
        </w:rPr>
        <w:t>biomedical</w:t>
      </w:r>
      <w:r w:rsidRPr="00937A80">
        <w:rPr>
          <w:lang w:val="en-SI"/>
        </w:rPr>
        <w:t xml:space="preserve"> and </w:t>
      </w:r>
      <w:r w:rsidRPr="00937A80">
        <w:rPr>
          <w:b/>
          <w:bCs/>
          <w:lang w:val="en-SI"/>
        </w:rPr>
        <w:t>aerospace</w:t>
      </w:r>
      <w:r w:rsidRPr="00937A80">
        <w:rPr>
          <w:lang w:val="en-SI"/>
        </w:rPr>
        <w:t xml:space="preserve"> applications. It will integrate TiDiT modules into its existing simulation frameworks and collaborate with European R&amp;D programs to extend adoption.</w:t>
      </w:r>
    </w:p>
    <w:p w14:paraId="4CD7B339" w14:textId="77777777" w:rsidR="00937A80" w:rsidRPr="00937A80" w:rsidRDefault="00937A80" w:rsidP="00937A80">
      <w:pPr>
        <w:jc w:val="both"/>
        <w:rPr>
          <w:lang w:val="en-SI"/>
        </w:rPr>
      </w:pPr>
    </w:p>
    <w:p w14:paraId="0A036628" w14:textId="77777777" w:rsidR="00937A80" w:rsidRPr="00937A80" w:rsidRDefault="00937A80" w:rsidP="00937A80">
      <w:pPr>
        <w:jc w:val="both"/>
        <w:rPr>
          <w:b/>
          <w:bCs/>
          <w:lang w:val="en-SI"/>
        </w:rPr>
      </w:pPr>
      <w:r w:rsidRPr="00937A80">
        <w:rPr>
          <w:b/>
          <w:bCs/>
          <w:lang w:val="en-SI"/>
        </w:rPr>
        <w:t>Alpata (Turkey)</w:t>
      </w:r>
    </w:p>
    <w:p w14:paraId="3F72B4D8" w14:textId="77777777" w:rsidR="00937A80" w:rsidRPr="00937A80" w:rsidRDefault="00937A80" w:rsidP="00937A80">
      <w:pPr>
        <w:jc w:val="both"/>
        <w:rPr>
          <w:lang w:val="en-SI"/>
        </w:rPr>
      </w:pPr>
      <w:r w:rsidRPr="00937A80">
        <w:rPr>
          <w:lang w:val="en-SI"/>
        </w:rPr>
        <w:t xml:space="preserve">Alpata focuses on industrial customization of TiDiT modules for </w:t>
      </w:r>
      <w:r w:rsidRPr="00937A80">
        <w:rPr>
          <w:b/>
          <w:bCs/>
          <w:lang w:val="en-SI"/>
        </w:rPr>
        <w:t>smart manufacturing</w:t>
      </w:r>
      <w:r w:rsidRPr="00937A80">
        <w:rPr>
          <w:lang w:val="en-SI"/>
        </w:rPr>
        <w:t xml:space="preserve"> and </w:t>
      </w:r>
      <w:r w:rsidRPr="00937A80">
        <w:rPr>
          <w:b/>
          <w:bCs/>
          <w:lang w:val="en-SI"/>
        </w:rPr>
        <w:t>production optimization</w:t>
      </w:r>
      <w:r w:rsidRPr="00937A80">
        <w:rPr>
          <w:lang w:val="en-SI"/>
        </w:rPr>
        <w:t>. The company will exploit TiDiT’s predictive modeling and residual stress simulation features within its industrial software solutions.</w:t>
      </w:r>
    </w:p>
    <w:p w14:paraId="2E9091AB" w14:textId="77777777" w:rsidR="00937A80" w:rsidRPr="00937A80" w:rsidRDefault="00937A80" w:rsidP="00937A80">
      <w:pPr>
        <w:jc w:val="both"/>
        <w:rPr>
          <w:lang w:val="en-SI"/>
        </w:rPr>
      </w:pPr>
    </w:p>
    <w:p w14:paraId="7B3126BB" w14:textId="77777777" w:rsidR="00937A80" w:rsidRPr="00937A80" w:rsidRDefault="00937A80" w:rsidP="00937A80">
      <w:pPr>
        <w:jc w:val="both"/>
        <w:rPr>
          <w:b/>
          <w:bCs/>
          <w:lang w:val="en-SI"/>
        </w:rPr>
      </w:pPr>
      <w:r w:rsidRPr="00937A80">
        <w:rPr>
          <w:b/>
          <w:bCs/>
          <w:lang w:val="en-SI"/>
        </w:rPr>
        <w:t>SkywaveIoT (Italy)</w:t>
      </w:r>
    </w:p>
    <w:p w14:paraId="27A7DD6E" w14:textId="77777777" w:rsidR="00937A80" w:rsidRPr="00937A80" w:rsidRDefault="00937A80" w:rsidP="00937A80">
      <w:pPr>
        <w:jc w:val="both"/>
        <w:rPr>
          <w:lang w:val="en-SI"/>
        </w:rPr>
      </w:pPr>
      <w:r w:rsidRPr="00937A80">
        <w:rPr>
          <w:lang w:val="en-SI"/>
        </w:rPr>
        <w:t xml:space="preserve">SkywaveIoT will use TiDiT to enhance its </w:t>
      </w:r>
      <w:r w:rsidRPr="00937A80">
        <w:rPr>
          <w:b/>
          <w:bCs/>
          <w:lang w:val="en-SI"/>
        </w:rPr>
        <w:t>IoT and analytics platforms</w:t>
      </w:r>
      <w:r w:rsidRPr="00937A80">
        <w:rPr>
          <w:lang w:val="en-SI"/>
        </w:rPr>
        <w:t>, integrating semantic interoperability and predictive modules derived from TiDiT architecture.</w:t>
      </w:r>
    </w:p>
    <w:p w14:paraId="79065B50" w14:textId="77777777" w:rsidR="004071C1" w:rsidRDefault="004071C1" w:rsidP="00937A80">
      <w:pPr>
        <w:jc w:val="both"/>
      </w:pPr>
    </w:p>
    <w:p w14:paraId="413688DE" w14:textId="77777777" w:rsidR="004071C1" w:rsidRDefault="004071C1"/>
    <w:p w14:paraId="642D95FF" w14:textId="25FBCA7E" w:rsidR="004071C1" w:rsidRDefault="0042627B">
      <w:pPr>
        <w:pStyle w:val="Heading1"/>
        <w:numPr>
          <w:ilvl w:val="0"/>
          <w:numId w:val="2"/>
        </w:numPr>
        <w:pBdr>
          <w:top w:val="nil"/>
          <w:left w:val="nil"/>
          <w:bottom w:val="nil"/>
          <w:right w:val="nil"/>
          <w:between w:val="nil"/>
        </w:pBdr>
        <w:spacing w:before="240" w:after="80" w:line="259" w:lineRule="auto"/>
        <w:rPr>
          <w:color w:val="2F5496"/>
          <w:sz w:val="32"/>
          <w:szCs w:val="32"/>
        </w:rPr>
      </w:pPr>
      <w:bookmarkStart w:id="3" w:name="_Toc212629900"/>
      <w:r>
        <w:rPr>
          <w:color w:val="2F5496"/>
          <w:sz w:val="32"/>
          <w:szCs w:val="32"/>
        </w:rPr>
        <w:t>Outcomes</w:t>
      </w:r>
      <w:r w:rsidR="00937A80">
        <w:rPr>
          <w:color w:val="2F5496"/>
          <w:sz w:val="32"/>
          <w:szCs w:val="32"/>
        </w:rPr>
        <w:t xml:space="preserve"> and Impact</w:t>
      </w:r>
      <w:bookmarkEnd w:id="3"/>
    </w:p>
    <w:p w14:paraId="4780D67F" w14:textId="46D1F1D3" w:rsidR="00937A80" w:rsidRPr="00937A80" w:rsidRDefault="00937A80" w:rsidP="00937A80">
      <w:pPr>
        <w:spacing w:before="100" w:beforeAutospacing="1" w:after="100" w:afterAutospacing="1" w:line="240" w:lineRule="auto"/>
        <w:jc w:val="both"/>
        <w:rPr>
          <w:rFonts w:eastAsia="Times New Roman"/>
          <w:lang w:val="en-SI"/>
        </w:rPr>
      </w:pPr>
      <w:r w:rsidRPr="00937A80">
        <w:rPr>
          <w:rFonts w:eastAsia="Times New Roman"/>
          <w:lang w:val="en-SI"/>
        </w:rPr>
        <w:t xml:space="preserve">Deliverable </w:t>
      </w:r>
      <w:r w:rsidRPr="00937A80">
        <w:rPr>
          <w:rFonts w:eastAsia="Times New Roman"/>
          <w:b/>
          <w:bCs/>
          <w:lang w:val="en-SI"/>
        </w:rPr>
        <w:t>D6.2 – Exploitation Reports</w:t>
      </w:r>
      <w:r w:rsidRPr="00937A80">
        <w:rPr>
          <w:rFonts w:eastAsia="Times New Roman"/>
          <w:lang w:val="en-SI"/>
        </w:rPr>
        <w:t xml:space="preserve"> provides a comprehensive overview of the consortium’s collective and individual strategies for transforming TiDiT project results into sustainable, market-ready products and services. Through the development of a structured exploitation roadmap, the project has successfully bridged the gap between research outcomes and commercial applications. Each partner has defined a clear exploitation pathway, aligning technological achievements with real-world market needs across key domains such as </w:t>
      </w:r>
      <w:r w:rsidRPr="00937A80">
        <w:rPr>
          <w:rFonts w:eastAsia="Times New Roman"/>
          <w:b/>
          <w:bCs/>
          <w:lang w:val="en-SI"/>
        </w:rPr>
        <w:t>healthcare, manufacturing, defense, and smart infrastructure</w:t>
      </w:r>
      <w:r w:rsidRPr="00937A80">
        <w:rPr>
          <w:rFonts w:eastAsia="Times New Roman"/>
          <w:lang w:val="en-SI"/>
        </w:rPr>
        <w:t>.</w:t>
      </w:r>
    </w:p>
    <w:p w14:paraId="1AE3478F" w14:textId="7F370749" w:rsidR="00937A80" w:rsidRPr="00937A80" w:rsidRDefault="00937A80" w:rsidP="00937A80">
      <w:pPr>
        <w:spacing w:before="100" w:beforeAutospacing="1" w:after="100" w:afterAutospacing="1" w:line="240" w:lineRule="auto"/>
        <w:jc w:val="both"/>
        <w:rPr>
          <w:rFonts w:eastAsia="Times New Roman"/>
          <w:lang w:val="en-SI"/>
        </w:rPr>
      </w:pPr>
      <w:r w:rsidRPr="00937A80">
        <w:rPr>
          <w:rFonts w:eastAsia="Times New Roman"/>
          <w:lang w:val="en-SI"/>
        </w:rPr>
        <w:t xml:space="preserve">The </w:t>
      </w:r>
      <w:r w:rsidRPr="00937A80">
        <w:rPr>
          <w:rFonts w:eastAsia="Times New Roman"/>
          <w:b/>
          <w:bCs/>
          <w:lang w:val="en-SI"/>
        </w:rPr>
        <w:t>TiDiT platform</w:t>
      </w:r>
      <w:r w:rsidRPr="00937A80">
        <w:rPr>
          <w:rFonts w:eastAsia="Times New Roman"/>
          <w:lang w:val="en-SI"/>
        </w:rPr>
        <w:t xml:space="preserve">, built around the concept of </w:t>
      </w:r>
      <w:r w:rsidRPr="00937A80">
        <w:rPr>
          <w:rFonts w:eastAsia="Times New Roman"/>
          <w:i/>
          <w:iCs/>
          <w:lang w:val="en-SI"/>
        </w:rPr>
        <w:t>Timeline-Driven Digital Twins (DTaaS)</w:t>
      </w:r>
      <w:r w:rsidRPr="00937A80">
        <w:rPr>
          <w:rFonts w:eastAsia="Times New Roman"/>
          <w:lang w:val="en-SI"/>
        </w:rPr>
        <w:t xml:space="preserve">, has been strategically positioned for long-term sustainability through a combination of </w:t>
      </w:r>
      <w:r w:rsidRPr="00937A80">
        <w:rPr>
          <w:rFonts w:eastAsia="Times New Roman"/>
          <w:b/>
          <w:bCs/>
          <w:lang w:val="en-SI"/>
        </w:rPr>
        <w:t>open-source access, modular commercialization, and subscription-based service models</w:t>
      </w:r>
      <w:r w:rsidRPr="00937A80">
        <w:rPr>
          <w:rFonts w:eastAsia="Times New Roman"/>
          <w:lang w:val="en-SI"/>
        </w:rPr>
        <w:t>. This hybrid exploitation approach enables flexibility in adoption, supports scalability across industries, and promotes the creation of an open European ecosystem for interoperable digital twin solutions.</w:t>
      </w:r>
    </w:p>
    <w:p w14:paraId="69FEAF7B" w14:textId="7D1F8157" w:rsidR="00937A80" w:rsidRPr="00937A80" w:rsidRDefault="00937A80" w:rsidP="00937A80">
      <w:pPr>
        <w:spacing w:before="100" w:beforeAutospacing="1" w:after="100" w:afterAutospacing="1" w:line="240" w:lineRule="auto"/>
        <w:jc w:val="both"/>
        <w:rPr>
          <w:rFonts w:eastAsia="Times New Roman"/>
          <w:lang w:val="en-SI"/>
        </w:rPr>
      </w:pPr>
      <w:r w:rsidRPr="00937A80">
        <w:rPr>
          <w:rFonts w:eastAsia="Times New Roman"/>
          <w:lang w:val="en-SI"/>
        </w:rPr>
        <w:t xml:space="preserve">The consortium’s coordinated exploitation actions have resulted in strengthened </w:t>
      </w:r>
      <w:r w:rsidRPr="00937A80">
        <w:rPr>
          <w:rFonts w:eastAsia="Times New Roman"/>
          <w:b/>
          <w:bCs/>
          <w:lang w:val="en-SI"/>
        </w:rPr>
        <w:t>technological innovation</w:t>
      </w:r>
      <w:r w:rsidRPr="00937A80">
        <w:rPr>
          <w:rFonts w:eastAsia="Times New Roman"/>
          <w:lang w:val="en-SI"/>
        </w:rPr>
        <w:t xml:space="preserve">, </w:t>
      </w:r>
      <w:r w:rsidRPr="00937A80">
        <w:rPr>
          <w:rFonts w:eastAsia="Times New Roman"/>
          <w:b/>
          <w:bCs/>
          <w:lang w:val="en-SI"/>
        </w:rPr>
        <w:t>cross-domain integration</w:t>
      </w:r>
      <w:r w:rsidRPr="00937A80">
        <w:rPr>
          <w:rFonts w:eastAsia="Times New Roman"/>
          <w:lang w:val="en-SI"/>
        </w:rPr>
        <w:t xml:space="preserve">, and </w:t>
      </w:r>
      <w:r w:rsidRPr="00937A80">
        <w:rPr>
          <w:rFonts w:eastAsia="Times New Roman"/>
          <w:b/>
          <w:bCs/>
          <w:lang w:val="en-SI"/>
        </w:rPr>
        <w:t>market visibility</w:t>
      </w:r>
      <w:r w:rsidRPr="00937A80">
        <w:rPr>
          <w:rFonts w:eastAsia="Times New Roman"/>
          <w:lang w:val="en-SI"/>
        </w:rPr>
        <w:t>, ensuring that the project’s outcomes will continue to generate impact beyond its lifetime. TiDiT not only supports partner growth but also contributes to broader European objectives in digital transformation, industry 4.0, and smart data-driven decision-making.</w:t>
      </w:r>
    </w:p>
    <w:p w14:paraId="6A9EF0BA" w14:textId="77777777" w:rsidR="00937A80" w:rsidRPr="00937A80" w:rsidRDefault="00937A80" w:rsidP="00937A80">
      <w:pPr>
        <w:spacing w:before="100" w:beforeAutospacing="1" w:after="100" w:afterAutospacing="1" w:line="240" w:lineRule="auto"/>
        <w:jc w:val="both"/>
        <w:rPr>
          <w:rFonts w:eastAsia="Times New Roman"/>
          <w:lang w:val="en-SI"/>
        </w:rPr>
      </w:pPr>
      <w:r w:rsidRPr="00937A80">
        <w:rPr>
          <w:rFonts w:eastAsia="Times New Roman"/>
          <w:lang w:val="en-SI"/>
        </w:rPr>
        <w:t>Key outcomes and impacts include:</w:t>
      </w:r>
    </w:p>
    <w:p w14:paraId="6E85F0C0" w14:textId="77777777" w:rsidR="00937A80" w:rsidRPr="00937A80" w:rsidRDefault="00937A80" w:rsidP="00937A80">
      <w:pPr>
        <w:numPr>
          <w:ilvl w:val="0"/>
          <w:numId w:val="13"/>
        </w:numPr>
        <w:spacing w:before="100" w:beforeAutospacing="1" w:after="100" w:afterAutospacing="1" w:line="240" w:lineRule="auto"/>
        <w:jc w:val="both"/>
        <w:rPr>
          <w:rFonts w:eastAsia="Times New Roman"/>
          <w:lang w:val="en-SI"/>
        </w:rPr>
      </w:pPr>
      <w:r w:rsidRPr="00937A80">
        <w:rPr>
          <w:rFonts w:eastAsia="Times New Roman"/>
          <w:lang w:val="en-SI"/>
        </w:rPr>
        <w:t>A comprehensive exploitation roadmap that ensures the long-term sustainability of TiDiT results.</w:t>
      </w:r>
    </w:p>
    <w:p w14:paraId="2371E625" w14:textId="77777777" w:rsidR="00937A80" w:rsidRPr="00937A80" w:rsidRDefault="00937A80" w:rsidP="00937A80">
      <w:pPr>
        <w:numPr>
          <w:ilvl w:val="0"/>
          <w:numId w:val="13"/>
        </w:numPr>
        <w:spacing w:before="100" w:beforeAutospacing="1" w:after="100" w:afterAutospacing="1" w:line="240" w:lineRule="auto"/>
        <w:jc w:val="both"/>
        <w:rPr>
          <w:rFonts w:eastAsia="Times New Roman"/>
          <w:lang w:val="en-SI"/>
        </w:rPr>
      </w:pPr>
      <w:r w:rsidRPr="00937A80">
        <w:rPr>
          <w:rFonts w:eastAsia="Times New Roman"/>
          <w:lang w:val="en-SI"/>
        </w:rPr>
        <w:t>Integration of TiDiT components into commercial products and services across multiple partners and sectors.</w:t>
      </w:r>
    </w:p>
    <w:p w14:paraId="6396DE99" w14:textId="77777777" w:rsidR="00937A80" w:rsidRPr="00937A80" w:rsidRDefault="00937A80" w:rsidP="00937A80">
      <w:pPr>
        <w:numPr>
          <w:ilvl w:val="0"/>
          <w:numId w:val="13"/>
        </w:numPr>
        <w:spacing w:before="100" w:beforeAutospacing="1" w:after="100" w:afterAutospacing="1" w:line="240" w:lineRule="auto"/>
        <w:jc w:val="both"/>
        <w:rPr>
          <w:rFonts w:eastAsia="Times New Roman"/>
          <w:lang w:val="en-SI"/>
        </w:rPr>
      </w:pPr>
      <w:r w:rsidRPr="00937A80">
        <w:rPr>
          <w:rFonts w:eastAsia="Times New Roman"/>
          <w:lang w:val="en-SI"/>
        </w:rPr>
        <w:t>Increased market readiness for timeline-driven digital twin technologies in healthcare, manufacturing, and defense.</w:t>
      </w:r>
    </w:p>
    <w:p w14:paraId="2DE68686" w14:textId="77777777" w:rsidR="00937A80" w:rsidRPr="00937A80" w:rsidRDefault="00937A80" w:rsidP="00937A80">
      <w:pPr>
        <w:numPr>
          <w:ilvl w:val="0"/>
          <w:numId w:val="13"/>
        </w:numPr>
        <w:spacing w:before="100" w:beforeAutospacing="1" w:after="100" w:afterAutospacing="1" w:line="240" w:lineRule="auto"/>
        <w:jc w:val="both"/>
        <w:rPr>
          <w:rFonts w:eastAsia="Times New Roman"/>
          <w:lang w:val="en-SI"/>
        </w:rPr>
      </w:pPr>
      <w:r w:rsidRPr="00937A80">
        <w:rPr>
          <w:rFonts w:eastAsia="Times New Roman"/>
          <w:lang w:val="en-SI"/>
        </w:rPr>
        <w:lastRenderedPageBreak/>
        <w:t>An established framework for continuous collaboration, training, and standardization, supporting future innovation.</w:t>
      </w:r>
    </w:p>
    <w:p w14:paraId="0C41C40C" w14:textId="2163A6F4" w:rsidR="00937A80" w:rsidRPr="00937A80" w:rsidRDefault="00937A80" w:rsidP="00937A80">
      <w:pPr>
        <w:numPr>
          <w:ilvl w:val="0"/>
          <w:numId w:val="13"/>
        </w:numPr>
        <w:spacing w:before="100" w:beforeAutospacing="1" w:after="100" w:afterAutospacing="1" w:line="240" w:lineRule="auto"/>
        <w:jc w:val="both"/>
        <w:rPr>
          <w:rFonts w:eastAsia="Times New Roman"/>
          <w:lang w:val="en-SI"/>
        </w:rPr>
      </w:pPr>
      <w:r w:rsidRPr="00937A80">
        <w:rPr>
          <w:rFonts w:eastAsia="Times New Roman"/>
          <w:lang w:val="en-SI"/>
        </w:rPr>
        <w:t>A significant contribution to Europe’s leadership in the development and adoption of semantic, interoperable digital twin platforms.</w:t>
      </w:r>
    </w:p>
    <w:p w14:paraId="5EE03AC0" w14:textId="07089977" w:rsidR="00937A80" w:rsidRPr="00937A80" w:rsidRDefault="00937A80" w:rsidP="00937A80">
      <w:pPr>
        <w:spacing w:before="100" w:beforeAutospacing="1" w:after="100" w:afterAutospacing="1" w:line="240" w:lineRule="auto"/>
        <w:jc w:val="both"/>
        <w:rPr>
          <w:rFonts w:eastAsia="Times New Roman"/>
          <w:lang w:val="en-SI"/>
        </w:rPr>
      </w:pPr>
      <w:r w:rsidRPr="00937A80">
        <w:rPr>
          <w:rFonts w:eastAsia="Times New Roman"/>
          <w:lang w:val="en-SI"/>
        </w:rPr>
        <w:t xml:space="preserve">Collectively, these achievements demonstrate that TiDiT has evolved beyond a research project into a </w:t>
      </w:r>
      <w:r w:rsidRPr="00937A80">
        <w:rPr>
          <w:rFonts w:eastAsia="Times New Roman"/>
          <w:b/>
          <w:bCs/>
          <w:lang w:val="en-SI"/>
        </w:rPr>
        <w:t>sustainable innovation ecosystem</w:t>
      </w:r>
      <w:r w:rsidRPr="00937A80">
        <w:rPr>
          <w:rFonts w:eastAsia="Times New Roman"/>
          <w:lang w:val="en-SI"/>
        </w:rPr>
        <w:t>, capable of driving continued value creation, industrial competitiveness, and technological excellence across Europe and beyond.</w:t>
      </w:r>
    </w:p>
    <w:sectPr w:rsidR="00937A80" w:rsidRPr="00937A80">
      <w:pgSz w:w="11909" w:h="16834"/>
      <w:pgMar w:top="2322" w:right="1701" w:bottom="1417" w:left="1701"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B562" w14:textId="77777777" w:rsidR="00B60D7C" w:rsidRDefault="00B60D7C">
      <w:pPr>
        <w:spacing w:line="240" w:lineRule="auto"/>
      </w:pPr>
      <w:r>
        <w:separator/>
      </w:r>
    </w:p>
  </w:endnote>
  <w:endnote w:type="continuationSeparator" w:id="0">
    <w:p w14:paraId="722CC602" w14:textId="77777777" w:rsidR="00B60D7C" w:rsidRDefault="00B60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951" w14:textId="77777777" w:rsidR="004071C1" w:rsidRDefault="00000000">
    <w:pPr>
      <w:tabs>
        <w:tab w:val="center" w:pos="4252"/>
        <w:tab w:val="right" w:pos="8504"/>
      </w:tabs>
      <w:spacing w:line="240" w:lineRule="auto"/>
      <w:jc w:val="right"/>
    </w:pPr>
    <w:r>
      <w:fldChar w:fldCharType="begin"/>
    </w:r>
    <w:r>
      <w:instrText>PAGE</w:instrText>
    </w:r>
    <w:r>
      <w:fldChar w:fldCharType="separate"/>
    </w:r>
    <w:r w:rsidR="00BE3567">
      <w:rPr>
        <w:noProof/>
      </w:rPr>
      <w:t>1</w:t>
    </w:r>
    <w:r>
      <w:fldChar w:fldCharType="end"/>
    </w:r>
  </w:p>
  <w:p w14:paraId="5D87F216" w14:textId="77777777" w:rsidR="004071C1" w:rsidRDefault="004071C1">
    <w:pPr>
      <w:tabs>
        <w:tab w:val="center" w:pos="4252"/>
        <w:tab w:val="right" w:pos="8504"/>
      </w:tabs>
      <w:spacing w:line="240" w:lineRule="auto"/>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BFD5" w14:textId="77777777" w:rsidR="00B60D7C" w:rsidRDefault="00B60D7C">
      <w:pPr>
        <w:spacing w:line="240" w:lineRule="auto"/>
      </w:pPr>
      <w:r>
        <w:separator/>
      </w:r>
    </w:p>
  </w:footnote>
  <w:footnote w:type="continuationSeparator" w:id="0">
    <w:p w14:paraId="4B215091" w14:textId="77777777" w:rsidR="00B60D7C" w:rsidRDefault="00B60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B406" w14:textId="40C91049" w:rsidR="004071C1" w:rsidRDefault="00E3612A">
    <w:r>
      <w:rPr>
        <w:noProof/>
      </w:rPr>
      <w:drawing>
        <wp:inline distT="0" distB="0" distL="0" distR="0" wp14:anchorId="63E036E9" wp14:editId="50C4F2A5">
          <wp:extent cx="3213100" cy="939800"/>
          <wp:effectExtent l="0" t="0" r="0" b="0"/>
          <wp:docPr id="709699090" name="Picture 1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99090" name="Picture 1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13100" cy="939800"/>
                  </a:xfrm>
                  <a:prstGeom prst="rect">
                    <a:avLst/>
                  </a:prstGeom>
                </pic:spPr>
              </pic:pic>
            </a:graphicData>
          </a:graphic>
        </wp:inline>
      </w:drawing>
    </w:r>
    <w:r>
      <w:t xml:space="preserve">                     </w:t>
    </w:r>
    <w:r w:rsidR="00BE3567">
      <w:fldChar w:fldCharType="begin"/>
    </w:r>
    <w:r w:rsidR="00BE3567">
      <w:instrText xml:space="preserve"> INCLUDEPICTURE "https://tidit.net/static/media/tidit_logo.accd3e640cbd3b6fbeea.png" \* MERGEFORMATINET </w:instrText>
    </w:r>
    <w:r w:rsidR="00BE3567">
      <w:fldChar w:fldCharType="separate"/>
    </w:r>
    <w:r w:rsidR="00BE3567">
      <w:rPr>
        <w:noProof/>
      </w:rPr>
      <w:drawing>
        <wp:inline distT="0" distB="0" distL="0" distR="0" wp14:anchorId="22EB911E" wp14:editId="422AFD92">
          <wp:extent cx="1363133" cy="848816"/>
          <wp:effectExtent l="0" t="0" r="0" b="2540"/>
          <wp:docPr id="1388425602"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25602" name="Picture 3" descr="A blue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690" cy="860371"/>
                  </a:xfrm>
                  <a:prstGeom prst="rect">
                    <a:avLst/>
                  </a:prstGeom>
                  <a:noFill/>
                  <a:ln>
                    <a:noFill/>
                  </a:ln>
                </pic:spPr>
              </pic:pic>
            </a:graphicData>
          </a:graphic>
        </wp:inline>
      </w:drawing>
    </w:r>
    <w:r w:rsidR="00BE356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1FA"/>
    <w:multiLevelType w:val="hybridMultilevel"/>
    <w:tmpl w:val="2486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A0404"/>
    <w:multiLevelType w:val="hybridMultilevel"/>
    <w:tmpl w:val="86E8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E0113"/>
    <w:multiLevelType w:val="multilevel"/>
    <w:tmpl w:val="EABC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C4D8B"/>
    <w:multiLevelType w:val="multilevel"/>
    <w:tmpl w:val="39C8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41E9E"/>
    <w:multiLevelType w:val="hybridMultilevel"/>
    <w:tmpl w:val="A4F0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44717"/>
    <w:multiLevelType w:val="hybridMultilevel"/>
    <w:tmpl w:val="0AB2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D44A7"/>
    <w:multiLevelType w:val="hybridMultilevel"/>
    <w:tmpl w:val="A1B07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46F10"/>
    <w:multiLevelType w:val="multilevel"/>
    <w:tmpl w:val="07B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E6114"/>
    <w:multiLevelType w:val="multilevel"/>
    <w:tmpl w:val="13B8D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86846A7"/>
    <w:multiLevelType w:val="hybridMultilevel"/>
    <w:tmpl w:val="93FE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728E3"/>
    <w:multiLevelType w:val="multilevel"/>
    <w:tmpl w:val="AB627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5C686A"/>
    <w:multiLevelType w:val="hybridMultilevel"/>
    <w:tmpl w:val="DCA8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B20A1"/>
    <w:multiLevelType w:val="multilevel"/>
    <w:tmpl w:val="D3F4C39A"/>
    <w:lvl w:ilvl="0">
      <w:start w:val="1"/>
      <w:numFmt w:val="decimal"/>
      <w:lvlText w:val="%1"/>
      <w:lvlJc w:val="left"/>
      <w:pPr>
        <w:ind w:left="432" w:hanging="432"/>
      </w:pPr>
    </w:lvl>
    <w:lvl w:ilvl="1">
      <w:start w:val="1"/>
      <w:numFmt w:val="decimal"/>
      <w:lvlText w:val="%1.%2"/>
      <w:lvlJc w:val="left"/>
      <w:pPr>
        <w:ind w:left="576" w:hanging="576"/>
      </w:pPr>
      <w:rPr>
        <w:color w:val="2E5496"/>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5842079">
    <w:abstractNumId w:val="8"/>
  </w:num>
  <w:num w:numId="2" w16cid:durableId="986589268">
    <w:abstractNumId w:val="12"/>
  </w:num>
  <w:num w:numId="3" w16cid:durableId="1175269221">
    <w:abstractNumId w:val="10"/>
  </w:num>
  <w:num w:numId="4" w16cid:durableId="356197408">
    <w:abstractNumId w:val="0"/>
  </w:num>
  <w:num w:numId="5" w16cid:durableId="804128635">
    <w:abstractNumId w:val="4"/>
  </w:num>
  <w:num w:numId="6" w16cid:durableId="1702709218">
    <w:abstractNumId w:val="11"/>
  </w:num>
  <w:num w:numId="7" w16cid:durableId="694506673">
    <w:abstractNumId w:val="6"/>
  </w:num>
  <w:num w:numId="8" w16cid:durableId="1534227231">
    <w:abstractNumId w:val="5"/>
  </w:num>
  <w:num w:numId="9" w16cid:durableId="16857186">
    <w:abstractNumId w:val="9"/>
  </w:num>
  <w:num w:numId="10" w16cid:durableId="1772897978">
    <w:abstractNumId w:val="1"/>
  </w:num>
  <w:num w:numId="11" w16cid:durableId="1235050457">
    <w:abstractNumId w:val="2"/>
  </w:num>
  <w:num w:numId="12" w16cid:durableId="1551571136">
    <w:abstractNumId w:val="7"/>
  </w:num>
  <w:num w:numId="13" w16cid:durableId="199056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C1"/>
    <w:rsid w:val="000500B2"/>
    <w:rsid w:val="002764FF"/>
    <w:rsid w:val="00380165"/>
    <w:rsid w:val="004071C1"/>
    <w:rsid w:val="0042627B"/>
    <w:rsid w:val="00724ABB"/>
    <w:rsid w:val="00937A80"/>
    <w:rsid w:val="009920AD"/>
    <w:rsid w:val="00A4195B"/>
    <w:rsid w:val="00AC4F23"/>
    <w:rsid w:val="00B60D7C"/>
    <w:rsid w:val="00BE3567"/>
    <w:rsid w:val="00E3612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FB78B"/>
  <w15:docId w15:val="{C158D5BC-7A56-F64B-ACD2-EA3B275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21879"/>
    <w:pPr>
      <w:spacing w:after="100"/>
    </w:pPr>
  </w:style>
  <w:style w:type="paragraph" w:styleId="TOC2">
    <w:name w:val="toc 2"/>
    <w:basedOn w:val="Normal"/>
    <w:next w:val="Normal"/>
    <w:autoRedefine/>
    <w:uiPriority w:val="39"/>
    <w:unhideWhenUsed/>
    <w:rsid w:val="00221879"/>
    <w:pPr>
      <w:spacing w:after="100"/>
      <w:ind w:left="220"/>
    </w:pPr>
  </w:style>
  <w:style w:type="character" w:styleId="Hyperlink">
    <w:name w:val="Hyperlink"/>
    <w:basedOn w:val="DefaultParagraphFont"/>
    <w:uiPriority w:val="99"/>
    <w:unhideWhenUsed/>
    <w:rsid w:val="00221879"/>
    <w:rPr>
      <w:color w:val="0000FF" w:themeColor="hyperlink"/>
      <w:u w:val="single"/>
    </w:rPr>
  </w:style>
  <w:style w:type="character" w:styleId="UnresolvedMention">
    <w:name w:val="Unresolved Mention"/>
    <w:basedOn w:val="DefaultParagraphFont"/>
    <w:uiPriority w:val="99"/>
    <w:semiHidden/>
    <w:unhideWhenUsed/>
    <w:rsid w:val="00A20C14"/>
    <w:rPr>
      <w:color w:val="605E5C"/>
      <w:shd w:val="clear" w:color="auto" w:fill="E1DFDD"/>
    </w:rPr>
  </w:style>
  <w:style w:type="paragraph" w:styleId="ListParagraph">
    <w:name w:val="List Paragraph"/>
    <w:basedOn w:val="Normal"/>
    <w:uiPriority w:val="34"/>
    <w:qFormat/>
    <w:rsid w:val="000C2EB0"/>
    <w:pPr>
      <w:ind w:left="720"/>
      <w:contextualSpacing/>
    </w:p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E3567"/>
    <w:pPr>
      <w:tabs>
        <w:tab w:val="center" w:pos="4513"/>
        <w:tab w:val="right" w:pos="9026"/>
      </w:tabs>
      <w:spacing w:line="240" w:lineRule="auto"/>
    </w:pPr>
  </w:style>
  <w:style w:type="character" w:customStyle="1" w:styleId="HeaderChar">
    <w:name w:val="Header Char"/>
    <w:basedOn w:val="DefaultParagraphFont"/>
    <w:link w:val="Header"/>
    <w:uiPriority w:val="99"/>
    <w:rsid w:val="00BE3567"/>
  </w:style>
  <w:style w:type="paragraph" w:styleId="Footer">
    <w:name w:val="footer"/>
    <w:basedOn w:val="Normal"/>
    <w:link w:val="FooterChar"/>
    <w:uiPriority w:val="99"/>
    <w:unhideWhenUsed/>
    <w:rsid w:val="00BE3567"/>
    <w:pPr>
      <w:tabs>
        <w:tab w:val="center" w:pos="4513"/>
        <w:tab w:val="right" w:pos="9026"/>
      </w:tabs>
      <w:spacing w:line="240" w:lineRule="auto"/>
    </w:pPr>
  </w:style>
  <w:style w:type="character" w:customStyle="1" w:styleId="FooterChar">
    <w:name w:val="Footer Char"/>
    <w:basedOn w:val="DefaultParagraphFont"/>
    <w:link w:val="Footer"/>
    <w:uiPriority w:val="99"/>
    <w:rsid w:val="00BE3567"/>
  </w:style>
  <w:style w:type="paragraph" w:styleId="BodyText">
    <w:name w:val="Body Text"/>
    <w:basedOn w:val="Normal"/>
    <w:link w:val="BodyTextChar"/>
    <w:uiPriority w:val="1"/>
    <w:qFormat/>
    <w:rsid w:val="00BE3567"/>
    <w:pPr>
      <w:widowControl w:val="0"/>
      <w:autoSpaceDE w:val="0"/>
      <w:autoSpaceDN w:val="0"/>
      <w:spacing w:line="240" w:lineRule="auto"/>
    </w:pPr>
    <w:rPr>
      <w:rFonts w:ascii="Calibri" w:eastAsia="Calibri" w:hAnsi="Calibri" w:cs="Calibri"/>
      <w:sz w:val="20"/>
      <w:szCs w:val="20"/>
      <w:lang w:eastAsia="en-US"/>
    </w:rPr>
  </w:style>
  <w:style w:type="character" w:customStyle="1" w:styleId="BodyTextChar">
    <w:name w:val="Body Text Char"/>
    <w:basedOn w:val="DefaultParagraphFont"/>
    <w:link w:val="BodyText"/>
    <w:uiPriority w:val="1"/>
    <w:rsid w:val="00BE3567"/>
    <w:rPr>
      <w:rFonts w:ascii="Calibri" w:eastAsia="Calibri" w:hAnsi="Calibri" w:cs="Calibri"/>
      <w:sz w:val="20"/>
      <w:szCs w:val="20"/>
      <w:lang w:eastAsia="en-US"/>
    </w:rPr>
  </w:style>
  <w:style w:type="paragraph" w:customStyle="1" w:styleId="p1">
    <w:name w:val="p1"/>
    <w:basedOn w:val="Normal"/>
    <w:rsid w:val="00937A80"/>
    <w:pPr>
      <w:spacing w:before="100" w:beforeAutospacing="1" w:after="100" w:afterAutospacing="1" w:line="240" w:lineRule="auto"/>
    </w:pPr>
    <w:rPr>
      <w:rFonts w:ascii="Times New Roman" w:eastAsia="Times New Roman" w:hAnsi="Times New Roman" w:cs="Times New Roman"/>
      <w:sz w:val="24"/>
      <w:szCs w:val="24"/>
      <w:lang w:val="en-SI"/>
    </w:rPr>
  </w:style>
  <w:style w:type="character" w:customStyle="1" w:styleId="s1">
    <w:name w:val="s1"/>
    <w:basedOn w:val="DefaultParagraphFont"/>
    <w:rsid w:val="0093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kKc8FijadIKszsoLK3jpv18Aw==">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1241</Words>
  <Characters>8033</Characters>
  <Application>Microsoft Office Word</Application>
  <DocSecurity>0</DocSecurity>
  <Lines>170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Brezar</cp:lastModifiedBy>
  <cp:revision>7</cp:revision>
  <dcterms:created xsi:type="dcterms:W3CDTF">2024-04-30T14:22:00Z</dcterms:created>
  <dcterms:modified xsi:type="dcterms:W3CDTF">2025-10-29T10:31:00Z</dcterms:modified>
</cp:coreProperties>
</file>