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31641" w14:textId="77777777" w:rsidR="0071262E" w:rsidRPr="00FD05D0" w:rsidRDefault="0071262E" w:rsidP="00BF7889">
      <w:pPr>
        <w:pStyle w:val="NoSpacing"/>
        <w:rPr>
          <w:lang w:val="en-GB"/>
        </w:rPr>
      </w:pPr>
    </w:p>
    <w:p w14:paraId="4DD97C33" w14:textId="4AED00DE" w:rsidR="002E0BDD" w:rsidRPr="00FD05D0" w:rsidRDefault="00CF7139" w:rsidP="00F80AD1">
      <w:pPr>
        <w:pStyle w:val="Heading1"/>
      </w:pPr>
      <w:r w:rsidRPr="00FD05D0">
        <w:t>Press release</w:t>
      </w:r>
    </w:p>
    <w:p w14:paraId="2B7EA066" w14:textId="2E730D96" w:rsidR="002E0BDD" w:rsidRPr="00FD05D0" w:rsidRDefault="00CF7139" w:rsidP="00F627D0">
      <w:pPr>
        <w:pStyle w:val="Subtitle"/>
        <w:rPr>
          <w:sz w:val="36"/>
        </w:rPr>
      </w:pPr>
      <w:r w:rsidRPr="00FD05D0">
        <w:rPr>
          <w:sz w:val="36"/>
        </w:rPr>
        <w:t xml:space="preserve">Eindhoven, </w:t>
      </w:r>
      <w:r w:rsidR="00B44BC6">
        <w:rPr>
          <w:sz w:val="36"/>
        </w:rPr>
        <w:t>14</w:t>
      </w:r>
      <w:r w:rsidRPr="00FD05D0">
        <w:rPr>
          <w:sz w:val="36"/>
        </w:rPr>
        <w:t xml:space="preserve"> </w:t>
      </w:r>
      <w:r w:rsidR="002835E8" w:rsidRPr="00FD05D0">
        <w:rPr>
          <w:sz w:val="36"/>
        </w:rPr>
        <w:t>Dec</w:t>
      </w:r>
      <w:r w:rsidRPr="00FD05D0">
        <w:rPr>
          <w:sz w:val="36"/>
        </w:rPr>
        <w:t>ember 2020</w:t>
      </w:r>
    </w:p>
    <w:p w14:paraId="33DC23CD" w14:textId="77777777" w:rsidR="002E0BDD" w:rsidRPr="00FD05D0" w:rsidRDefault="002E0BDD" w:rsidP="00DA74AE">
      <w:pPr>
        <w:pStyle w:val="NoSpacing"/>
        <w:pBdr>
          <w:bottom w:val="single" w:sz="4" w:space="1" w:color="00A651" w:themeColor="accent1"/>
        </w:pBdr>
        <w:spacing w:line="240" w:lineRule="auto"/>
        <w:rPr>
          <w:sz w:val="10"/>
          <w:szCs w:val="2"/>
          <w:lang w:val="en-GB"/>
        </w:rPr>
      </w:pPr>
    </w:p>
    <w:p w14:paraId="1F563289" w14:textId="77777777" w:rsidR="002E0BDD" w:rsidRPr="00FD05D0" w:rsidRDefault="002E0BDD" w:rsidP="00BF7889">
      <w:pPr>
        <w:pStyle w:val="NoSpacing"/>
        <w:rPr>
          <w:lang w:val="en-GB"/>
        </w:rPr>
      </w:pPr>
    </w:p>
    <w:p w14:paraId="48DD7B0D" w14:textId="77777777" w:rsidR="00DA74AE" w:rsidRPr="00FD05D0" w:rsidRDefault="00DA74AE" w:rsidP="00BF7889">
      <w:pPr>
        <w:pStyle w:val="NoSpacing"/>
        <w:rPr>
          <w:lang w:val="en-GB"/>
        </w:rPr>
      </w:pPr>
    </w:p>
    <w:p w14:paraId="084AD0C5" w14:textId="7BF9192D" w:rsidR="00284F2B" w:rsidRPr="00FD05D0" w:rsidRDefault="002835E8" w:rsidP="002835E8">
      <w:pPr>
        <w:spacing w:before="0" w:after="160" w:line="259" w:lineRule="auto"/>
      </w:pPr>
      <w:r w:rsidRPr="00FD05D0">
        <w:rPr>
          <w:b/>
          <w:sz w:val="32"/>
        </w:rPr>
        <w:t>ITEA programme strengthened by new Board members Esri Canada and NXP Semiconductors Germany</w:t>
      </w:r>
    </w:p>
    <w:p w14:paraId="01CEFEA3" w14:textId="72CD41F3" w:rsidR="003531E4" w:rsidRPr="00FD05D0" w:rsidRDefault="0074009D" w:rsidP="001A3D58">
      <w:r w:rsidRPr="00FD05D0">
        <w:t xml:space="preserve">ITEA is a strong worldwide network, created by and for its Community members and always looking for new ways to strengthen this. Since 2014, ITEA 3 Call 1, Canada has been active in ITEA with a strong participation ever since. As Jiang Chen, the Canadian ITEA Public Authority representative stated in our latest </w:t>
      </w:r>
      <w:hyperlink r:id="rId11" w:history="1">
        <w:r w:rsidRPr="00FD05D0">
          <w:rPr>
            <w:rStyle w:val="Hyperlink"/>
            <w:rFonts w:eastAsiaTheme="majorEastAsia"/>
            <w:color w:val="00B050"/>
          </w:rPr>
          <w:t>ITEA Magazine</w:t>
        </w:r>
      </w:hyperlink>
      <w:r w:rsidRPr="00FD05D0">
        <w:t xml:space="preserve">: “ITEA has been a particular focus for Canada due to its industry-driven, bottom-up approach with trusted and engaged innovation actors coupled with effective processes. This generates valuable networks and projects with commercial and social impacts. ITEA has become one of the preferred channels we leverage to help Canadian companies to access global value chains.” Recently, this mutual commitment was cemented in the shape of </w:t>
      </w:r>
      <w:hyperlink r:id="rId12" w:history="1">
        <w:r w:rsidRPr="00FD05D0">
          <w:rPr>
            <w:rStyle w:val="Hyperlink"/>
            <w:rFonts w:eastAsiaTheme="majorEastAsia"/>
            <w:color w:val="00B050"/>
          </w:rPr>
          <w:t>Esri Canada</w:t>
        </w:r>
      </w:hyperlink>
      <w:r w:rsidRPr="00FD05D0">
        <w:t>, one of the pearls of the thriving Canadian ICT Community, that joined the ITEA Board on 10 September.</w:t>
      </w:r>
      <w:r w:rsidR="0008734A" w:rsidRPr="00FD05D0">
        <w:br/>
      </w:r>
    </w:p>
    <w:p w14:paraId="2F894457" w14:textId="4767ECE1" w:rsidR="00444964" w:rsidRPr="00FD05D0" w:rsidRDefault="00B66D7D" w:rsidP="00444964">
      <w:r w:rsidRPr="00FD05D0">
        <w:rPr>
          <w:b/>
          <w:bCs/>
          <w:noProof/>
        </w:rPr>
        <w:drawing>
          <wp:anchor distT="0" distB="0" distL="114300" distR="114300" simplePos="0" relativeHeight="251672576" behindDoc="0" locked="0" layoutInCell="1" allowOverlap="1" wp14:anchorId="3F8BC69F" wp14:editId="78F75943">
            <wp:simplePos x="0" y="0"/>
            <wp:positionH relativeFrom="margin">
              <wp:align>right</wp:align>
            </wp:positionH>
            <wp:positionV relativeFrom="paragraph">
              <wp:posOffset>21590</wp:posOffset>
            </wp:positionV>
            <wp:extent cx="2834005" cy="6953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4005" cy="695325"/>
                    </a:xfrm>
                    <a:prstGeom prst="rect">
                      <a:avLst/>
                    </a:prstGeom>
                  </pic:spPr>
                </pic:pic>
              </a:graphicData>
            </a:graphic>
            <wp14:sizeRelH relativeFrom="page">
              <wp14:pctWidth>0</wp14:pctWidth>
            </wp14:sizeRelH>
            <wp14:sizeRelV relativeFrom="page">
              <wp14:pctHeight>0</wp14:pctHeight>
            </wp14:sizeRelV>
          </wp:anchor>
        </w:drawing>
      </w:r>
      <w:r w:rsidR="00444964" w:rsidRPr="00FD05D0">
        <w:rPr>
          <w:b/>
          <w:bCs/>
        </w:rPr>
        <w:t>Esri Canada</w:t>
      </w:r>
      <w:r w:rsidR="00444964" w:rsidRPr="00FD05D0">
        <w:rPr>
          <w:b/>
          <w:bCs/>
        </w:rPr>
        <w:br/>
      </w:r>
      <w:r w:rsidR="00444964" w:rsidRPr="00FD05D0">
        <w:t xml:space="preserve">Esri Canada is a private Canadian-owned company founded in 1984 that provides world-class enterprise </w:t>
      </w:r>
      <w:r w:rsidR="005D6783" w:rsidRPr="00FD05D0">
        <w:t>geographic information system (</w:t>
      </w:r>
      <w:r w:rsidR="00444964" w:rsidRPr="00FD05D0">
        <w:t>GIS</w:t>
      </w:r>
      <w:r w:rsidR="005D6783" w:rsidRPr="00FD05D0">
        <w:t>)</w:t>
      </w:r>
      <w:r w:rsidR="00444964" w:rsidRPr="00FD05D0">
        <w:t xml:space="preserve"> solutions. Headquartered in Toronto, they have 16 offices across the country serving 12,000+ customers.</w:t>
      </w:r>
    </w:p>
    <w:p w14:paraId="400F8576" w14:textId="77777777" w:rsidR="00444964" w:rsidRPr="00FD05D0" w:rsidRDefault="00444964" w:rsidP="00444964">
      <w:r w:rsidRPr="00FD05D0">
        <w:t xml:space="preserve">They deliver geospatial solutions based on ArcGIS, the world’s leading GIS software. Their solutions empower people in business, government and education to make informed and timely decisions by leveraging the power of mapping and spatial analytics — The Science of Where. </w:t>
      </w:r>
    </w:p>
    <w:p w14:paraId="73B6E67D" w14:textId="77777777" w:rsidR="00FD05D0" w:rsidRPr="00FD05D0" w:rsidRDefault="00444964" w:rsidP="002F67C8">
      <w:r w:rsidRPr="00FD05D0">
        <w:t>Esri Canada believes location intelligence unlocks data’s potential in every organisation. By integrating and analysing data through the lens of location, they offer better solutions for achieving sustainability.</w:t>
      </w:r>
    </w:p>
    <w:p w14:paraId="5B6D6C57" w14:textId="29873A38" w:rsidR="00FC2AE8" w:rsidRPr="00FD05D0" w:rsidRDefault="00E26D54" w:rsidP="002F67C8">
      <w:r w:rsidRPr="00FD05D0">
        <w:rPr>
          <w:noProof/>
        </w:rPr>
        <mc:AlternateContent>
          <mc:Choice Requires="wps">
            <w:drawing>
              <wp:anchor distT="91440" distB="91440" distL="114300" distR="114300" simplePos="0" relativeHeight="251665408" behindDoc="0" locked="0" layoutInCell="1" allowOverlap="1" wp14:anchorId="4306EDF7" wp14:editId="2846F200">
                <wp:simplePos x="0" y="0"/>
                <wp:positionH relativeFrom="page">
                  <wp:align>center</wp:align>
                </wp:positionH>
                <wp:positionV relativeFrom="paragraph">
                  <wp:posOffset>744220</wp:posOffset>
                </wp:positionV>
                <wp:extent cx="5114925" cy="1403985"/>
                <wp:effectExtent l="0" t="0" r="0" b="63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3985"/>
                        </a:xfrm>
                        <a:prstGeom prst="rect">
                          <a:avLst/>
                        </a:prstGeom>
                        <a:noFill/>
                        <a:ln w="9525">
                          <a:noFill/>
                          <a:miter lim="800000"/>
                          <a:headEnd/>
                          <a:tailEnd/>
                        </a:ln>
                      </wps:spPr>
                      <wps:txbx>
                        <w:txbxContent>
                          <w:p w14:paraId="3B8F099C" w14:textId="7C93819B" w:rsidR="002E372C" w:rsidRPr="00D67340" w:rsidRDefault="00323E40" w:rsidP="002E372C">
                            <w:pPr>
                              <w:pBdr>
                                <w:top w:val="single" w:sz="24" w:space="8" w:color="00A651" w:themeColor="accent1"/>
                                <w:bottom w:val="single" w:sz="24" w:space="10" w:color="00A651" w:themeColor="accent1"/>
                              </w:pBdr>
                              <w:spacing w:after="0"/>
                              <w:rPr>
                                <w:i/>
                                <w:iCs/>
                                <w:szCs w:val="20"/>
                              </w:rPr>
                            </w:pPr>
                            <w:r>
                              <w:t>“</w:t>
                            </w:r>
                            <w:r w:rsidRPr="003D11A2">
                              <w:rPr>
                                <w:i/>
                                <w:iCs/>
                              </w:rPr>
                              <w:t xml:space="preserve">Building stronger international research networks that enable collaboration and sharing </w:t>
                            </w:r>
                            <w:r w:rsidR="008474BE">
                              <w:rPr>
                                <w:i/>
                                <w:iCs/>
                              </w:rPr>
                              <w:t xml:space="preserve">of </w:t>
                            </w:r>
                            <w:r w:rsidRPr="003D11A2">
                              <w:rPr>
                                <w:i/>
                                <w:iCs/>
                              </w:rPr>
                              <w:t>information is essential for our planet. Digital geography is a paradigm shift for integrating information by location. I look forward to cooperating with my European colleagues to address the big issues of our time including public safety, harmoni</w:t>
                            </w:r>
                            <w:r>
                              <w:rPr>
                                <w:i/>
                                <w:iCs/>
                              </w:rPr>
                              <w:t>s</w:t>
                            </w:r>
                            <w:r w:rsidRPr="003D11A2">
                              <w:rPr>
                                <w:i/>
                                <w:iCs/>
                              </w:rPr>
                              <w:t>ed mobility and climate change. Canada and Europe will both benefit immensely from sharing the best of our cultures and advance both of our societies.</w:t>
                            </w:r>
                            <w:r>
                              <w:rPr>
                                <w:i/>
                                <w:iCs/>
                              </w:rPr>
                              <w:t>”</w:t>
                            </w:r>
                            <w:r w:rsidR="002E372C" w:rsidRPr="00D67340">
                              <w:rPr>
                                <w:i/>
                                <w:iCs/>
                                <w:szCs w:val="20"/>
                              </w:rPr>
                              <w:br/>
                              <w:t xml:space="preserve"> </w:t>
                            </w:r>
                            <w:r w:rsidR="002E372C" w:rsidRPr="00D67340">
                              <w:rPr>
                                <w:b/>
                                <w:bCs/>
                                <w:szCs w:val="20"/>
                              </w:rPr>
                              <w:t xml:space="preserve">– </w:t>
                            </w:r>
                            <w:r w:rsidR="00B92AB4" w:rsidRPr="00B92AB4">
                              <w:rPr>
                                <w:b/>
                                <w:bCs/>
                                <w:szCs w:val="20"/>
                              </w:rPr>
                              <w:t>Alex Miller, President Esri Canada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6EDF7" id="_x0000_t202" coordsize="21600,21600" o:spt="202" path="m,l,21600r21600,l21600,xe">
                <v:stroke joinstyle="miter"/>
                <v:path gradientshapeok="t" o:connecttype="rect"/>
              </v:shapetype>
              <v:shape id="Text Box 2" o:spid="_x0000_s1026" type="#_x0000_t202" style="position:absolute;margin-left:0;margin-top:58.6pt;width:402.75pt;height:110.55pt;z-index:251665408;visibility:visible;mso-wrap-style:square;mso-width-percent:0;mso-height-percent:200;mso-wrap-distance-left:9pt;mso-wrap-distance-top:7.2pt;mso-wrap-distance-right:9pt;mso-wrap-distance-bottom:7.2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OXCgIAAPMDAAAOAAAAZHJzL2Uyb0RvYy54bWysU9tu2zAMfR+wfxD0vjjOki0x4hRduwwD&#10;ugvQ7gMYWY6FSaImKbG7rx8lp2nQvQ3TgyCK1CHPIbW+GoxmR+mDQlvzcjLlTFqBjbL7mv942L5Z&#10;chYi2AY0WlnzRxn41eb1q3XvKjnDDnUjPSMQG6re1byL0VVFEUQnDYQJOmnJ2aI3EMn0+6Lx0BO6&#10;0cVsOn1X9Ogb51HIEOj2dnTyTcZvWynit7YNMjJdc6ot5t3nfZf2YrOGau/BdUqcyoB/qMKAspT0&#10;DHULEdjBq7+gjBIeA7ZxItAU2LZKyMyB2JTTF2zuO3AycyFxgjvLFP4frPh6/O6Zaqh3nFkw1KIH&#10;OUT2AQc2S+r0LlQUdO8oLA50nSIT0+DuUPwMzOJNB3Yvr73HvpPQUHVlellcPB1xQgLZ9V+woTRw&#10;iJiBhtabBEhiMEKnLj2eO5NKEXS5KMv5arbgTJCvnE/frpaLnAOqp+fOh/hJomHpUHNPrc/wcLwL&#10;MZUD1VNIymZxq7TO7deW9TVfLQj/hceoSNOplan5cprWOC+J5Ufb5McRlB7PlEDbE+3EdOQch91A&#10;gUmLHTaPJIDHcQrp19ChQ/+bs54msObh1wG85Ex/tiTiqpzP08hmY754PyPDX3p2lx6wgqBqHjkb&#10;jzcxj/nYqmsSe6uyDM+VnGqlycrqnH5BGt1LO0c9/9XNHwAAAP//AwBQSwMEFAAGAAgAAAAhAIHh&#10;zLbdAAAACAEAAA8AAABkcnMvZG93bnJldi54bWxMj8FOwzAQRO9I/IO1SNyo3USlUYhTVagtR6BE&#10;nN14SSLitWW7afh7zIkeZ2c186bazGZkE/owWJKwXAhgSK3VA3USmo/9QwEsREVajZZQwg8G2NS3&#10;N5Uqtb3QO07H2LEUQqFUEvoYXcl5aHs0KiysQ0rel/VGxSR9x7VXlxRuRp4J8ciNGig19Mrhc4/t&#10;9/FsJLjoDusX//q23e0n0XwemmzodlLe383bJ2AR5/j/DH/4CR3qxHSyZ9KBjRLSkJiuy3UGLNmF&#10;WK2AnSTkeZEDryt+PaD+BQAA//8DAFBLAQItABQABgAIAAAAIQC2gziS/gAAAOEBAAATAAAAAAAA&#10;AAAAAAAAAAAAAABbQ29udGVudF9UeXBlc10ueG1sUEsBAi0AFAAGAAgAAAAhADj9If/WAAAAlAEA&#10;AAsAAAAAAAAAAAAAAAAALwEAAF9yZWxzLy5yZWxzUEsBAi0AFAAGAAgAAAAhAOIVw5cKAgAA8wMA&#10;AA4AAAAAAAAAAAAAAAAALgIAAGRycy9lMm9Eb2MueG1sUEsBAi0AFAAGAAgAAAAhAIHhzLbdAAAA&#10;CAEAAA8AAAAAAAAAAAAAAAAAZAQAAGRycy9kb3ducmV2LnhtbFBLBQYAAAAABAAEAPMAAABuBQAA&#10;AAA=&#10;" filled="f" stroked="f">
                <v:textbox style="mso-fit-shape-to-text:t">
                  <w:txbxContent>
                    <w:p w14:paraId="3B8F099C" w14:textId="7C93819B" w:rsidR="002E372C" w:rsidRPr="00D67340" w:rsidRDefault="00323E40" w:rsidP="002E372C">
                      <w:pPr>
                        <w:pBdr>
                          <w:top w:val="single" w:sz="24" w:space="8" w:color="00A651" w:themeColor="accent1"/>
                          <w:bottom w:val="single" w:sz="24" w:space="10" w:color="00A651" w:themeColor="accent1"/>
                        </w:pBdr>
                        <w:spacing w:after="0"/>
                        <w:rPr>
                          <w:i/>
                          <w:iCs/>
                          <w:szCs w:val="20"/>
                        </w:rPr>
                      </w:pPr>
                      <w:r>
                        <w:t>“</w:t>
                      </w:r>
                      <w:r w:rsidRPr="003D11A2">
                        <w:rPr>
                          <w:i/>
                          <w:iCs/>
                        </w:rPr>
                        <w:t xml:space="preserve">Building stronger international research networks that enable collaboration and sharing </w:t>
                      </w:r>
                      <w:r w:rsidR="008474BE">
                        <w:rPr>
                          <w:i/>
                          <w:iCs/>
                        </w:rPr>
                        <w:t xml:space="preserve">of </w:t>
                      </w:r>
                      <w:r w:rsidRPr="003D11A2">
                        <w:rPr>
                          <w:i/>
                          <w:iCs/>
                        </w:rPr>
                        <w:t>information is essential for our planet. Digital geography is a paradigm shift for integrating information by location. I look forward to cooperating with my European colleagues to address the big issues of our time including public safety, harmoni</w:t>
                      </w:r>
                      <w:r>
                        <w:rPr>
                          <w:i/>
                          <w:iCs/>
                        </w:rPr>
                        <w:t>s</w:t>
                      </w:r>
                      <w:r w:rsidRPr="003D11A2">
                        <w:rPr>
                          <w:i/>
                          <w:iCs/>
                        </w:rPr>
                        <w:t>ed mobility and climate change. Canada and Europe will both benefit immensely from sharing the best of our cultures and advance both of our societies.</w:t>
                      </w:r>
                      <w:r>
                        <w:rPr>
                          <w:i/>
                          <w:iCs/>
                        </w:rPr>
                        <w:t>”</w:t>
                      </w:r>
                      <w:r w:rsidR="002E372C" w:rsidRPr="00D67340">
                        <w:rPr>
                          <w:i/>
                          <w:iCs/>
                          <w:szCs w:val="20"/>
                        </w:rPr>
                        <w:br/>
                        <w:t xml:space="preserve"> </w:t>
                      </w:r>
                      <w:r w:rsidR="002E372C" w:rsidRPr="00D67340">
                        <w:rPr>
                          <w:b/>
                          <w:bCs/>
                          <w:szCs w:val="20"/>
                        </w:rPr>
                        <w:t xml:space="preserve">– </w:t>
                      </w:r>
                      <w:r w:rsidR="00B92AB4" w:rsidRPr="00B92AB4">
                        <w:rPr>
                          <w:b/>
                          <w:bCs/>
                          <w:szCs w:val="20"/>
                        </w:rPr>
                        <w:t>Alex Miller, President Esri Canada</w:t>
                      </w:r>
                    </w:p>
                  </w:txbxContent>
                </v:textbox>
                <w10:wrap type="topAndBottom" anchorx="page"/>
              </v:shape>
            </w:pict>
          </mc:Fallback>
        </mc:AlternateContent>
      </w:r>
      <w:r w:rsidR="00444964" w:rsidRPr="00FD05D0">
        <w:t xml:space="preserve">Esri Canada’s first participation directly contributed to the ITEA Award of Excellence 2020 for the </w:t>
      </w:r>
      <w:hyperlink r:id="rId14" w:history="1">
        <w:r w:rsidR="002A197B" w:rsidRPr="00FD05D0">
          <w:rPr>
            <w:rStyle w:val="Hyperlink"/>
            <w:rFonts w:eastAsiaTheme="majorEastAsia"/>
          </w:rPr>
          <w:t>PS-</w:t>
        </w:r>
        <w:r w:rsidR="002A197B" w:rsidRPr="00FD05D0">
          <w:rPr>
            <w:rStyle w:val="Hyperlink"/>
          </w:rPr>
          <w:t>CRIMSON</w:t>
        </w:r>
      </w:hyperlink>
      <w:r w:rsidR="002A197B" w:rsidRPr="00FD05D0">
        <w:t xml:space="preserve"> project</w:t>
      </w:r>
      <w:r w:rsidR="00444964" w:rsidRPr="00FD05D0">
        <w:t xml:space="preserve">. Currently they are leading the </w:t>
      </w:r>
      <w:hyperlink r:id="rId15" w:history="1">
        <w:r w:rsidR="00444964" w:rsidRPr="00FD05D0">
          <w:rPr>
            <w:rStyle w:val="Hyperlink"/>
            <w:rFonts w:eastAsiaTheme="majorEastAsia"/>
            <w:color w:val="00B050"/>
          </w:rPr>
          <w:t>ITEA SMART</w:t>
        </w:r>
      </w:hyperlink>
      <w:r w:rsidR="00444964" w:rsidRPr="00FD05D0">
        <w:t xml:space="preserve"> project, which was launched earlier this year. </w:t>
      </w:r>
    </w:p>
    <w:p w14:paraId="579AD6A2" w14:textId="7E49CEF9" w:rsidR="00E26D54" w:rsidRDefault="00E26D54" w:rsidP="0008734A">
      <w:pPr>
        <w:pStyle w:val="BodyText"/>
        <w:rPr>
          <w:b/>
          <w:bCs/>
        </w:rPr>
      </w:pPr>
      <w:r w:rsidRPr="00FD05D0">
        <w:rPr>
          <w:noProof/>
        </w:rPr>
        <w:lastRenderedPageBreak/>
        <mc:AlternateContent>
          <mc:Choice Requires="wps">
            <w:drawing>
              <wp:anchor distT="91440" distB="91440" distL="114300" distR="114300" simplePos="0" relativeHeight="251675648" behindDoc="0" locked="0" layoutInCell="1" allowOverlap="1" wp14:anchorId="0C9A4067" wp14:editId="139F02F4">
                <wp:simplePos x="0" y="0"/>
                <wp:positionH relativeFrom="margin">
                  <wp:align>center</wp:align>
                </wp:positionH>
                <wp:positionV relativeFrom="paragraph">
                  <wp:posOffset>0</wp:posOffset>
                </wp:positionV>
                <wp:extent cx="5132069" cy="1533524"/>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069" cy="1533524"/>
                        </a:xfrm>
                        <a:prstGeom prst="rect">
                          <a:avLst/>
                        </a:prstGeom>
                        <a:noFill/>
                        <a:ln w="9525">
                          <a:noFill/>
                          <a:miter lim="800000"/>
                          <a:headEnd/>
                          <a:tailEnd/>
                        </a:ln>
                      </wps:spPr>
                      <wps:txbx>
                        <w:txbxContent>
                          <w:p w14:paraId="59711203" w14:textId="06685D3C" w:rsidR="00E26D54" w:rsidRPr="00D67340" w:rsidRDefault="00E26D54" w:rsidP="00E26D54">
                            <w:pPr>
                              <w:pBdr>
                                <w:top w:val="single" w:sz="24" w:space="8" w:color="00A651" w:themeColor="accent1"/>
                                <w:bottom w:val="single" w:sz="24" w:space="10" w:color="00A651" w:themeColor="accent1"/>
                              </w:pBdr>
                              <w:spacing w:after="0"/>
                              <w:rPr>
                                <w:i/>
                                <w:iCs/>
                                <w:szCs w:val="20"/>
                              </w:rPr>
                            </w:pPr>
                            <w:r w:rsidRPr="0047282D">
                              <w:rPr>
                                <w:i/>
                                <w:iCs/>
                              </w:rPr>
                              <w:t>“</w:t>
                            </w:r>
                            <w:r>
                              <w:rPr>
                                <w:i/>
                                <w:iCs/>
                              </w:rPr>
                              <w:t>Esri</w:t>
                            </w:r>
                            <w:r w:rsidRPr="0047282D">
                              <w:rPr>
                                <w:i/>
                                <w:iCs/>
                              </w:rPr>
                              <w:t xml:space="preserve"> Canada has been involved </w:t>
                            </w:r>
                            <w:r>
                              <w:rPr>
                                <w:i/>
                                <w:iCs/>
                              </w:rPr>
                              <w:t xml:space="preserve">in </w:t>
                            </w:r>
                            <w:r w:rsidRPr="0047282D">
                              <w:rPr>
                                <w:i/>
                                <w:iCs/>
                              </w:rPr>
                              <w:t xml:space="preserve">ITEA projects and presented their dedication to create impact via innovative research projects. ITEA has an ambition not only in innovation in technology but also in international cooperation. Therefore, I am very enthusiastic to announce </w:t>
                            </w:r>
                            <w:r>
                              <w:rPr>
                                <w:i/>
                                <w:iCs/>
                              </w:rPr>
                              <w:t>Esri</w:t>
                            </w:r>
                            <w:r w:rsidRPr="0047282D">
                              <w:rPr>
                                <w:i/>
                                <w:iCs/>
                              </w:rPr>
                              <w:t xml:space="preserve"> Canada </w:t>
                            </w:r>
                            <w:r>
                              <w:rPr>
                                <w:i/>
                                <w:iCs/>
                              </w:rPr>
                              <w:t>a</w:t>
                            </w:r>
                            <w:r w:rsidRPr="0047282D">
                              <w:rPr>
                                <w:i/>
                                <w:iCs/>
                              </w:rPr>
                              <w:t xml:space="preserve">s an ITEA Board member. </w:t>
                            </w:r>
                            <w:r w:rsidR="00EE39FD">
                              <w:rPr>
                                <w:i/>
                                <w:iCs/>
                              </w:rPr>
                              <w:t xml:space="preserve">The </w:t>
                            </w:r>
                            <w:r w:rsidRPr="0047282D">
                              <w:rPr>
                                <w:i/>
                                <w:iCs/>
                              </w:rPr>
                              <w:t xml:space="preserve">ITEA Board is stronger and more impactful with </w:t>
                            </w:r>
                            <w:r>
                              <w:rPr>
                                <w:i/>
                                <w:iCs/>
                              </w:rPr>
                              <w:t>Esri</w:t>
                            </w:r>
                            <w:r w:rsidRPr="0047282D">
                              <w:rPr>
                                <w:i/>
                                <w:iCs/>
                              </w:rPr>
                              <w:t xml:space="preserve"> Canada.”</w:t>
                            </w:r>
                            <w:r w:rsidRPr="00D67340">
                              <w:rPr>
                                <w:i/>
                                <w:iCs/>
                                <w:szCs w:val="20"/>
                              </w:rPr>
                              <w:br/>
                              <w:t xml:space="preserve"> </w:t>
                            </w:r>
                            <w:r w:rsidRPr="00D67340">
                              <w:rPr>
                                <w:b/>
                                <w:bCs/>
                                <w:szCs w:val="20"/>
                              </w:rPr>
                              <w:t xml:space="preserve">– </w:t>
                            </w:r>
                            <w:r w:rsidRPr="007968B4">
                              <w:rPr>
                                <w:b/>
                                <w:bCs/>
                                <w:szCs w:val="20"/>
                              </w:rPr>
                              <w:t>Zeynep Sarılar, ITEA Chairwoman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9A4067" id="_x0000_s1027" type="#_x0000_t202" style="position:absolute;margin-left:0;margin-top:0;width:404.1pt;height:120.75pt;z-index:251675648;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5ceDwIAAPoDAAAOAAAAZHJzL2Uyb0RvYy54bWysU9tuGyEQfa/Uf0C813uxN41XXkdpUleV&#10;0ouU9AMwy3pRgaGAvet+fQbWcaz2rSoPiGGYM3PODKubUStyEM5LMA0tZjklwnBopdk19MfT5t01&#10;JT4w0zIFRjT0KDy9Wb99sxpsLUroQbXCEQQxvh5sQ/sQbJ1lnvdCMz8DKww6O3CaBTTdLmsdGxBd&#10;q6zM86tsANdaB1x4j7f3k5OuE37XCR6+dZ0XgaiGYm0h7S7t27hn6xWrd47ZXvJTGewfqtBMGkx6&#10;hrpngZG9k39BackdeOjCjIPOoOskF4kDsinyP9g89syKxAXF8fYsk/9/sPzr4bsjsm1oRYlhGlv0&#10;JMZAPsBIyqjOYH2Njx4tPgsjXmOXE1NvH4D/9MTAXc/MTtw6B0MvWIvVFTEyuwidcHwE2Q5foMU0&#10;bB8gAY2d01E6FIMgOnbpeO5MLIXjZVXMy/xqSQlHX1HN51W5SDlY/RJunQ+fBGgSDw112PoEzw4P&#10;PsRyWP3yJGYzsJFKpfYrQ4aGLquySgEXHi0DTqeSuqHXeVzTvESWH02bggOTajpjAmVOtCPTiXMY&#10;t2PSN2kSJdlCe0QdHEzDiJ8HDz2435QMOIgN9b/2zAlK1GeDWi6LxSJObjIW1fsSDXfp2V56mOEI&#10;1dBAyXS8C2naI2Vvb1HzjUxqvFZyKhkHLIl0+gxxgi/t9Or1y66fAQAA//8DAFBLAwQUAAYACAAA&#10;ACEA4odEYdsAAAAFAQAADwAAAGRycy9kb3ducmV2LnhtbEyPwU7DMBBE70j9B2srcaN2I6BRiFNV&#10;qC1HaBtxduMliYjXlu2m4e8xXOCy0mhGM2/L9WQGNqIPvSUJy4UAhtRY3VMroT7t7nJgISrSarCE&#10;Er4wwLqa3ZSq0PZKBxyPsWWphEKhJHQxuoLz0HRoVFhYh5S8D+uNikn6lmuvrqncDDwT4pEb1VNa&#10;6JTD5w6bz+PFSHDR7Vcv/vVts92Non7f11nfbqW8nU+bJ2ARp/gXhh/8hA5VYjrbC+nABgnpkfh7&#10;k5eLPAN2lpDdLx+AVyX/T199AwAA//8DAFBLAQItABQABgAIAAAAIQC2gziS/gAAAOEBAAATAAAA&#10;AAAAAAAAAAAAAAAAAABbQ29udGVudF9UeXBlc10ueG1sUEsBAi0AFAAGAAgAAAAhADj9If/WAAAA&#10;lAEAAAsAAAAAAAAAAAAAAAAALwEAAF9yZWxzLy5yZWxzUEsBAi0AFAAGAAgAAAAhAFdDlx4PAgAA&#10;+gMAAA4AAAAAAAAAAAAAAAAALgIAAGRycy9lMm9Eb2MueG1sUEsBAi0AFAAGAAgAAAAhAOKHRGHb&#10;AAAABQEAAA8AAAAAAAAAAAAAAAAAaQQAAGRycy9kb3ducmV2LnhtbFBLBQYAAAAABAAEAPMAAABx&#10;BQAAAAA=&#10;" filled="f" stroked="f">
                <v:textbox style="mso-fit-shape-to-text:t">
                  <w:txbxContent>
                    <w:p w14:paraId="59711203" w14:textId="06685D3C" w:rsidR="00E26D54" w:rsidRPr="00D67340" w:rsidRDefault="00E26D54" w:rsidP="00E26D54">
                      <w:pPr>
                        <w:pBdr>
                          <w:top w:val="single" w:sz="24" w:space="8" w:color="00A651" w:themeColor="accent1"/>
                          <w:bottom w:val="single" w:sz="24" w:space="10" w:color="00A651" w:themeColor="accent1"/>
                        </w:pBdr>
                        <w:spacing w:after="0"/>
                        <w:rPr>
                          <w:i/>
                          <w:iCs/>
                          <w:szCs w:val="20"/>
                        </w:rPr>
                      </w:pPr>
                      <w:r w:rsidRPr="0047282D">
                        <w:rPr>
                          <w:i/>
                          <w:iCs/>
                        </w:rPr>
                        <w:t>“</w:t>
                      </w:r>
                      <w:r>
                        <w:rPr>
                          <w:i/>
                          <w:iCs/>
                        </w:rPr>
                        <w:t>Esri</w:t>
                      </w:r>
                      <w:r w:rsidRPr="0047282D">
                        <w:rPr>
                          <w:i/>
                          <w:iCs/>
                        </w:rPr>
                        <w:t xml:space="preserve"> Canada has been involved </w:t>
                      </w:r>
                      <w:r>
                        <w:rPr>
                          <w:i/>
                          <w:iCs/>
                        </w:rPr>
                        <w:t xml:space="preserve">in </w:t>
                      </w:r>
                      <w:r w:rsidRPr="0047282D">
                        <w:rPr>
                          <w:i/>
                          <w:iCs/>
                        </w:rPr>
                        <w:t xml:space="preserve">ITEA projects and presented their dedication to create impact via innovative research projects. ITEA has an ambition not only in innovation in technology but also in international cooperation. Therefore, I am very enthusiastic to announce </w:t>
                      </w:r>
                      <w:r>
                        <w:rPr>
                          <w:i/>
                          <w:iCs/>
                        </w:rPr>
                        <w:t>Esri</w:t>
                      </w:r>
                      <w:r w:rsidRPr="0047282D">
                        <w:rPr>
                          <w:i/>
                          <w:iCs/>
                        </w:rPr>
                        <w:t xml:space="preserve"> Canada </w:t>
                      </w:r>
                      <w:r>
                        <w:rPr>
                          <w:i/>
                          <w:iCs/>
                        </w:rPr>
                        <w:t>a</w:t>
                      </w:r>
                      <w:r w:rsidRPr="0047282D">
                        <w:rPr>
                          <w:i/>
                          <w:iCs/>
                        </w:rPr>
                        <w:t xml:space="preserve">s an ITEA Board member. </w:t>
                      </w:r>
                      <w:r w:rsidR="00EE39FD">
                        <w:rPr>
                          <w:i/>
                          <w:iCs/>
                        </w:rPr>
                        <w:t xml:space="preserve">The </w:t>
                      </w:r>
                      <w:r w:rsidRPr="0047282D">
                        <w:rPr>
                          <w:i/>
                          <w:iCs/>
                        </w:rPr>
                        <w:t xml:space="preserve">ITEA Board is stronger and more impactful with </w:t>
                      </w:r>
                      <w:r>
                        <w:rPr>
                          <w:i/>
                          <w:iCs/>
                        </w:rPr>
                        <w:t>Esri</w:t>
                      </w:r>
                      <w:r w:rsidRPr="0047282D">
                        <w:rPr>
                          <w:i/>
                          <w:iCs/>
                        </w:rPr>
                        <w:t xml:space="preserve"> Canada.”</w:t>
                      </w:r>
                      <w:r w:rsidRPr="00D67340">
                        <w:rPr>
                          <w:i/>
                          <w:iCs/>
                          <w:szCs w:val="20"/>
                        </w:rPr>
                        <w:br/>
                        <w:t xml:space="preserve"> </w:t>
                      </w:r>
                      <w:r w:rsidRPr="00D67340">
                        <w:rPr>
                          <w:b/>
                          <w:bCs/>
                          <w:szCs w:val="20"/>
                        </w:rPr>
                        <w:t xml:space="preserve">– </w:t>
                      </w:r>
                      <w:r w:rsidRPr="007968B4">
                        <w:rPr>
                          <w:b/>
                          <w:bCs/>
                          <w:szCs w:val="20"/>
                        </w:rPr>
                        <w:t>Zeynep Sarılar, ITEA Chairwoman</w:t>
                      </w:r>
                    </w:p>
                  </w:txbxContent>
                </v:textbox>
                <w10:wrap type="topAndBottom" anchorx="margin"/>
              </v:shape>
            </w:pict>
          </mc:Fallback>
        </mc:AlternateContent>
      </w:r>
    </w:p>
    <w:p w14:paraId="2B899DA2" w14:textId="7DCD10AF" w:rsidR="00E26D54" w:rsidRDefault="00E26D54" w:rsidP="0008734A">
      <w:pPr>
        <w:pStyle w:val="BodyText"/>
        <w:rPr>
          <w:b/>
          <w:bCs/>
        </w:rPr>
      </w:pPr>
    </w:p>
    <w:p w14:paraId="2C83B9F5" w14:textId="433D9F6C" w:rsidR="0077293E" w:rsidRPr="00FD05D0" w:rsidRDefault="00B66D7D" w:rsidP="0008734A">
      <w:pPr>
        <w:pStyle w:val="BodyText"/>
        <w:rPr>
          <w:b/>
          <w:bCs/>
        </w:rPr>
      </w:pPr>
      <w:r w:rsidRPr="00FD05D0">
        <w:rPr>
          <w:b/>
          <w:bCs/>
          <w:noProof/>
        </w:rPr>
        <w:drawing>
          <wp:anchor distT="0" distB="0" distL="114300" distR="114300" simplePos="0" relativeHeight="251673600" behindDoc="0" locked="0" layoutInCell="1" allowOverlap="1" wp14:anchorId="5A6DD31E" wp14:editId="264BDC78">
            <wp:simplePos x="0" y="0"/>
            <wp:positionH relativeFrom="margin">
              <wp:align>right</wp:align>
            </wp:positionH>
            <wp:positionV relativeFrom="paragraph">
              <wp:posOffset>77470</wp:posOffset>
            </wp:positionV>
            <wp:extent cx="2330450" cy="927100"/>
            <wp:effectExtent l="0" t="0" r="0" b="0"/>
            <wp:wrapSquare wrapText="bothSides"/>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30450" cy="927100"/>
                    </a:xfrm>
                    <a:prstGeom prst="rect">
                      <a:avLst/>
                    </a:prstGeom>
                  </pic:spPr>
                </pic:pic>
              </a:graphicData>
            </a:graphic>
            <wp14:sizeRelH relativeFrom="page">
              <wp14:pctWidth>0</wp14:pctWidth>
            </wp14:sizeRelH>
            <wp14:sizeRelV relativeFrom="page">
              <wp14:pctHeight>0</wp14:pctHeight>
            </wp14:sizeRelV>
          </wp:anchor>
        </w:drawing>
      </w:r>
      <w:r w:rsidR="0077293E" w:rsidRPr="00FD05D0">
        <w:rPr>
          <w:b/>
          <w:bCs/>
        </w:rPr>
        <w:t>NXP Semiconductors Germany GmbH</w:t>
      </w:r>
    </w:p>
    <w:p w14:paraId="5481A805" w14:textId="269F64C1" w:rsidR="0077293E" w:rsidRPr="00FD05D0" w:rsidRDefault="0077293E" w:rsidP="0077293E">
      <w:r w:rsidRPr="00FD05D0">
        <w:t xml:space="preserve">Germany has had a strong involvement in ITEA from day one. In ITEA’s latest Call Germany is even the #3 contributor in terms of effort. To intensify this valuable partnership and to strengthen the ITEA </w:t>
      </w:r>
      <w:r w:rsidR="00EE39FD">
        <w:t>p</w:t>
      </w:r>
      <w:r w:rsidRPr="00FD05D0">
        <w:t xml:space="preserve">rogramme even further, the ITEA Board has unanimously welcomed </w:t>
      </w:r>
      <w:hyperlink r:id="rId17" w:history="1">
        <w:r w:rsidRPr="00FD05D0">
          <w:rPr>
            <w:rStyle w:val="Hyperlink"/>
            <w:rFonts w:eastAsiaTheme="majorEastAsia"/>
            <w:color w:val="00B050"/>
          </w:rPr>
          <w:t>NXP</w:t>
        </w:r>
        <w:r w:rsidR="00A421D8">
          <w:rPr>
            <w:rStyle w:val="Hyperlink"/>
            <w:rFonts w:eastAsiaTheme="majorEastAsia"/>
            <w:color w:val="00B050"/>
          </w:rPr>
          <w:t xml:space="preserve"> Seminconductors</w:t>
        </w:r>
        <w:r w:rsidRPr="00FD05D0">
          <w:rPr>
            <w:rStyle w:val="Hyperlink"/>
            <w:rFonts w:eastAsiaTheme="majorEastAsia"/>
            <w:color w:val="00B050"/>
          </w:rPr>
          <w:t xml:space="preserve"> Germany</w:t>
        </w:r>
      </w:hyperlink>
      <w:r w:rsidRPr="00FD05D0">
        <w:t xml:space="preserve"> as a new member. During the ITEA Board </w:t>
      </w:r>
      <w:r w:rsidR="00EE39FD">
        <w:t>meeting</w:t>
      </w:r>
      <w:r w:rsidRPr="00FD05D0">
        <w:t xml:space="preserve"> of 27 November, Daniel Weyl, </w:t>
      </w:r>
      <w:bookmarkStart w:id="0" w:name="_Hlk58422051"/>
      <w:r w:rsidRPr="00FD05D0">
        <w:t>Vice President Software R&amp;D at NXP Semiconductors</w:t>
      </w:r>
      <w:bookmarkEnd w:id="0"/>
      <w:r w:rsidRPr="00FD05D0">
        <w:t xml:space="preserve"> and Zeynep Sarılar, ITEA Chairwoman, officially signed the Deed of Accession.</w:t>
      </w:r>
    </w:p>
    <w:p w14:paraId="0D17B49E" w14:textId="77777777" w:rsidR="0077293E" w:rsidRPr="00FD05D0" w:rsidRDefault="0077293E" w:rsidP="0077293E">
      <w:r w:rsidRPr="00FD05D0">
        <w:t xml:space="preserve">NXP Semiconductors is a global semiconductor company creating solutions that enable secure connections and infrastructure for a smarter world. NXP focuses on research, development and innovation in its target markets. NXP designs purpose-built, rigorously tested technologies that enable devices to sense, think, connect and act intelligently to improve people's daily lives. They target markets like Automotive, Industrial &amp; IoT, Mobile, Smart City, Smart Home and Communication Infrastructure. </w:t>
      </w:r>
    </w:p>
    <w:p w14:paraId="5CBE66BB" w14:textId="3A40B807" w:rsidR="00CF0B57" w:rsidRPr="00FD05D0" w:rsidRDefault="0077293E" w:rsidP="0077293E">
      <w:pPr>
        <w:pStyle w:val="BodyText"/>
      </w:pPr>
      <w:r w:rsidRPr="00FD05D0">
        <w:t xml:space="preserve">NXP Semiconductors Germany GmbH itself also has a strong involvement in ITEA. They recently led the ITEA Award of Excellence 2020 winning project </w:t>
      </w:r>
      <w:hyperlink r:id="rId18" w:history="1">
        <w:r w:rsidRPr="00FD05D0">
          <w:rPr>
            <w:rStyle w:val="Hyperlink"/>
            <w:rFonts w:eastAsiaTheme="majorEastAsia"/>
            <w:color w:val="00B050"/>
          </w:rPr>
          <w:t>Flex4Apps</w:t>
        </w:r>
      </w:hyperlink>
      <w:r w:rsidRPr="00FD05D0">
        <w:t xml:space="preserve"> and are involved in three running ITEA projects and one labelled AI Call project and in four submitted Project Outlines for ITEA 3 Call 7.</w:t>
      </w:r>
    </w:p>
    <w:p w14:paraId="7D5D7408" w14:textId="7700E60F" w:rsidR="00350F09" w:rsidRDefault="00B66D7D" w:rsidP="0086446F">
      <w:pPr>
        <w:pStyle w:val="BodyText"/>
        <w:rPr>
          <w:b/>
          <w:bCs/>
        </w:rPr>
      </w:pPr>
      <w:r w:rsidRPr="00FD05D0">
        <w:rPr>
          <w:noProof/>
        </w:rPr>
        <mc:AlternateContent>
          <mc:Choice Requires="wps">
            <w:drawing>
              <wp:anchor distT="91440" distB="91440" distL="114300" distR="114300" simplePos="0" relativeHeight="251669504" behindDoc="0" locked="0" layoutInCell="1" allowOverlap="1" wp14:anchorId="5F628412" wp14:editId="578C1D52">
                <wp:simplePos x="0" y="0"/>
                <wp:positionH relativeFrom="margin">
                  <wp:align>center</wp:align>
                </wp:positionH>
                <wp:positionV relativeFrom="paragraph">
                  <wp:posOffset>297180</wp:posOffset>
                </wp:positionV>
                <wp:extent cx="5114925" cy="1403985"/>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3985"/>
                        </a:xfrm>
                        <a:prstGeom prst="rect">
                          <a:avLst/>
                        </a:prstGeom>
                        <a:noFill/>
                        <a:ln w="9525">
                          <a:noFill/>
                          <a:miter lim="800000"/>
                          <a:headEnd/>
                          <a:tailEnd/>
                        </a:ln>
                      </wps:spPr>
                      <wps:txbx>
                        <w:txbxContent>
                          <w:p w14:paraId="053940DC" w14:textId="62FAD2DB" w:rsidR="00350F09" w:rsidRPr="00D67340" w:rsidRDefault="00484482" w:rsidP="00350F09">
                            <w:pPr>
                              <w:pBdr>
                                <w:top w:val="single" w:sz="24" w:space="8" w:color="00A651" w:themeColor="accent1"/>
                                <w:bottom w:val="single" w:sz="24" w:space="10" w:color="00A651" w:themeColor="accent1"/>
                              </w:pBdr>
                              <w:spacing w:after="0"/>
                              <w:rPr>
                                <w:i/>
                                <w:iCs/>
                                <w:szCs w:val="20"/>
                              </w:rPr>
                            </w:pPr>
                            <w:r w:rsidRPr="00DF2D5F">
                              <w:rPr>
                                <w:i/>
                                <w:iCs/>
                              </w:rPr>
                              <w:t xml:space="preserve">“I am very pleased to join the ITEA Board because software is getting more and more important in the semiconductor world where NXP is the leading company in Europe. Our presence </w:t>
                            </w:r>
                            <w:r>
                              <w:rPr>
                                <w:i/>
                                <w:iCs/>
                              </w:rPr>
                              <w:t>on</w:t>
                            </w:r>
                            <w:r w:rsidRPr="00DF2D5F">
                              <w:rPr>
                                <w:i/>
                                <w:iCs/>
                              </w:rPr>
                              <w:t xml:space="preserve"> the </w:t>
                            </w:r>
                            <w:r>
                              <w:rPr>
                                <w:i/>
                                <w:iCs/>
                              </w:rPr>
                              <w:t>B</w:t>
                            </w:r>
                            <w:r w:rsidRPr="00DF2D5F">
                              <w:rPr>
                                <w:i/>
                                <w:iCs/>
                              </w:rPr>
                              <w:t xml:space="preserve">oard will allow </w:t>
                            </w:r>
                            <w:r>
                              <w:rPr>
                                <w:i/>
                                <w:iCs/>
                              </w:rPr>
                              <w:t xml:space="preserve">us </w:t>
                            </w:r>
                            <w:r w:rsidRPr="00DF2D5F">
                              <w:rPr>
                                <w:i/>
                                <w:iCs/>
                              </w:rPr>
                              <w:t>to build a further symbios</w:t>
                            </w:r>
                            <w:r>
                              <w:rPr>
                                <w:i/>
                                <w:iCs/>
                              </w:rPr>
                              <w:t>is</w:t>
                            </w:r>
                            <w:r w:rsidRPr="00DF2D5F">
                              <w:rPr>
                                <w:i/>
                                <w:iCs/>
                              </w:rPr>
                              <w:t xml:space="preserve"> </w:t>
                            </w:r>
                            <w:r>
                              <w:rPr>
                                <w:i/>
                                <w:iCs/>
                              </w:rPr>
                              <w:t>of</w:t>
                            </w:r>
                            <w:r w:rsidRPr="00DF2D5F">
                              <w:rPr>
                                <w:i/>
                                <w:iCs/>
                              </w:rPr>
                              <w:t xml:space="preserve"> the hardware/software cooperation. It will also allow ITEA to further strengthen the vertical value chains in which it is already active. NXP is indeed already involved in the ITEA programs and partnerships for many years with 80 projects in different European NXP sites, such as France, Belgium, </w:t>
                            </w:r>
                            <w:r w:rsidR="0053676B">
                              <w:rPr>
                                <w:i/>
                                <w:iCs/>
                              </w:rPr>
                              <w:t xml:space="preserve">the </w:t>
                            </w:r>
                            <w:r w:rsidRPr="00DF2D5F">
                              <w:rPr>
                                <w:i/>
                                <w:iCs/>
                              </w:rPr>
                              <w:t>Netherlands and Germany. It is a strategic trend in NXP to further develop from hardware to hardware/software solution provider, therefore ITEA will be a key platform to support Europe’s and NXP’s strategy. Software is a major part of value creation in micro processing, executed in European NXP sites, including also Czech Republic and Romania. Therefore, NXP would like to listen, lea</w:t>
                            </w:r>
                            <w:r w:rsidR="00BA1469">
                              <w:rPr>
                                <w:i/>
                                <w:iCs/>
                              </w:rPr>
                              <w:t>r</w:t>
                            </w:r>
                            <w:r w:rsidRPr="00DF2D5F">
                              <w:rPr>
                                <w:i/>
                                <w:iCs/>
                              </w:rPr>
                              <w:t>n, support, connect, influence the ITEA program.”</w:t>
                            </w:r>
                            <w:r w:rsidR="00350F09" w:rsidRPr="00D67340">
                              <w:rPr>
                                <w:i/>
                                <w:iCs/>
                                <w:szCs w:val="20"/>
                              </w:rPr>
                              <w:br/>
                              <w:t xml:space="preserve"> </w:t>
                            </w:r>
                            <w:r w:rsidR="00350F09" w:rsidRPr="00D67340">
                              <w:rPr>
                                <w:b/>
                                <w:bCs/>
                                <w:szCs w:val="20"/>
                              </w:rPr>
                              <w:t xml:space="preserve">– </w:t>
                            </w:r>
                            <w:r w:rsidR="0001317E" w:rsidRPr="0001317E">
                              <w:rPr>
                                <w:b/>
                                <w:bCs/>
                                <w:szCs w:val="20"/>
                              </w:rPr>
                              <w:t>Daniel Weyl, Vice President Software R&amp;D at NXP Semiconductors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28412" id="_x0000_s1028" type="#_x0000_t202" style="position:absolute;margin-left:0;margin-top:23.4pt;width:402.75pt;height:110.55pt;z-index:251669504;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sDgIAAPoDAAAOAAAAZHJzL2Uyb0RvYy54bWysU9tuGyEQfa/Uf0C817vr2qm9Mo7SpK4q&#10;pRcp6QdglvWiAkMBe9f9+g6s41rJW1Qe0MAMZ+acGVbXg9HkIH1QYBmtJiUl0gpolN0x+vNx825B&#10;SYjcNlyDlYweZaDX67dvVr2r5RQ60I30BEFsqHvHaBejq4siiE4aHibgpEVnC97wiEe/KxrPe0Q3&#10;upiW5VXRg2+cByFDwNu70UnXGb9tpYjf2zbISDSjWFvMu8/7Nu3FesXrneeuU+JUBn9FFYYri0nP&#10;UHc8crL36gWUUcJDgDZOBJgC2lYJmTkgm6p8xuah405mLihOcGeZwv+DFd8OPzxRDaNXlFhusEWP&#10;cojkIwxkmtTpXagx6MFhWBzwGrucmQZ3D+JXIBZuO2538sZ76DvJG6yuSi+Li6cjTkgg2/4rNJiG&#10;7yNkoKH1JkmHYhBExy4dz51JpQi8nFfVbDmdUyLQV83K98vFPOfg9dNz50P8LMGQZDDqsfUZnh/u&#10;Q0zl8PopJGWzsFFa5/ZrS3pGl3PEf+YxKuJ0amUYXZRpjfOSWH6yTX4cudKjjQm0PdFOTEfOcdgO&#10;Wd+zmltojqiDh3EY8fOg0YH/Q0mPg8ho+L3nXlKiv1jUclnNZmly82E2/zDFg7/0bC893AqEYjRS&#10;Mpq3MU97IhbcDWq+UVmN1JyxklPJOGBZpNNnSBN8ec5R/77s+i8AAAD//wMAUEsDBBQABgAIAAAA&#10;IQDR8J2X3QAAAAcBAAAPAAAAZHJzL2Rvd25yZXYueG1sTM/BTsMwDAbgOxLvEBmJG0uoWDe6utOE&#10;tnFkjIpz1mRtReNESdaVtyec4Gj91u/P5XoyAxu1D70lhMeZAKapsaqnFqH+2D0sgYUoScnBkkb4&#10;1gHW1e1NKQtlr/Sux2NsWSqhUEiELkZXcB6aThsZZtZpStnZeiNjGn3LlZfXVG4GngmRcyN7Shc6&#10;6fRLp5uv48UguOj2i1f/dthsd6OoP/d11rdbxPu7abMCFvUU/5bhl5/oUCXTyV5IBTYgpEciwlOe&#10;/Cldivkc2AkhyxfPwKuS//dXPwAAAP//AwBQSwECLQAUAAYACAAAACEAtoM4kv4AAADhAQAAEwAA&#10;AAAAAAAAAAAAAAAAAAAAW0NvbnRlbnRfVHlwZXNdLnhtbFBLAQItABQABgAIAAAAIQA4/SH/1gAA&#10;AJQBAAALAAAAAAAAAAAAAAAAAC8BAABfcmVscy8ucmVsc1BLAQItABQABgAIAAAAIQC/qMLsDgIA&#10;APoDAAAOAAAAAAAAAAAAAAAAAC4CAABkcnMvZTJvRG9jLnhtbFBLAQItABQABgAIAAAAIQDR8J2X&#10;3QAAAAcBAAAPAAAAAAAAAAAAAAAAAGgEAABkcnMvZG93bnJldi54bWxQSwUGAAAAAAQABADzAAAA&#10;cgUAAAAA&#10;" filled="f" stroked="f">
                <v:textbox style="mso-fit-shape-to-text:t">
                  <w:txbxContent>
                    <w:p w14:paraId="053940DC" w14:textId="62FAD2DB" w:rsidR="00350F09" w:rsidRPr="00D67340" w:rsidRDefault="00484482" w:rsidP="00350F09">
                      <w:pPr>
                        <w:pBdr>
                          <w:top w:val="single" w:sz="24" w:space="8" w:color="00A651" w:themeColor="accent1"/>
                          <w:bottom w:val="single" w:sz="24" w:space="10" w:color="00A651" w:themeColor="accent1"/>
                        </w:pBdr>
                        <w:spacing w:after="0"/>
                        <w:rPr>
                          <w:i/>
                          <w:iCs/>
                          <w:szCs w:val="20"/>
                        </w:rPr>
                      </w:pPr>
                      <w:r w:rsidRPr="00DF2D5F">
                        <w:rPr>
                          <w:i/>
                          <w:iCs/>
                        </w:rPr>
                        <w:t xml:space="preserve">“I am very pleased to join the ITEA Board because software is getting more and more important in the semiconductor world where NXP is the leading company in Europe. Our presence </w:t>
                      </w:r>
                      <w:r>
                        <w:rPr>
                          <w:i/>
                          <w:iCs/>
                        </w:rPr>
                        <w:t>on</w:t>
                      </w:r>
                      <w:r w:rsidRPr="00DF2D5F">
                        <w:rPr>
                          <w:i/>
                          <w:iCs/>
                        </w:rPr>
                        <w:t xml:space="preserve"> the </w:t>
                      </w:r>
                      <w:r>
                        <w:rPr>
                          <w:i/>
                          <w:iCs/>
                        </w:rPr>
                        <w:t>B</w:t>
                      </w:r>
                      <w:r w:rsidRPr="00DF2D5F">
                        <w:rPr>
                          <w:i/>
                          <w:iCs/>
                        </w:rPr>
                        <w:t xml:space="preserve">oard will allow </w:t>
                      </w:r>
                      <w:r>
                        <w:rPr>
                          <w:i/>
                          <w:iCs/>
                        </w:rPr>
                        <w:t xml:space="preserve">us </w:t>
                      </w:r>
                      <w:r w:rsidRPr="00DF2D5F">
                        <w:rPr>
                          <w:i/>
                          <w:iCs/>
                        </w:rPr>
                        <w:t>to build a further symbios</w:t>
                      </w:r>
                      <w:r>
                        <w:rPr>
                          <w:i/>
                          <w:iCs/>
                        </w:rPr>
                        <w:t>is</w:t>
                      </w:r>
                      <w:r w:rsidRPr="00DF2D5F">
                        <w:rPr>
                          <w:i/>
                          <w:iCs/>
                        </w:rPr>
                        <w:t xml:space="preserve"> </w:t>
                      </w:r>
                      <w:r>
                        <w:rPr>
                          <w:i/>
                          <w:iCs/>
                        </w:rPr>
                        <w:t>of</w:t>
                      </w:r>
                      <w:r w:rsidRPr="00DF2D5F">
                        <w:rPr>
                          <w:i/>
                          <w:iCs/>
                        </w:rPr>
                        <w:t xml:space="preserve"> the hardware/software cooperation. It will also allow ITEA to further strengthen the vertical value chains in which it is already active. NXP is indeed already involved in the ITEA programs and partnerships for many years with 80 projects in different European NXP sites, such as France, Belgium, </w:t>
                      </w:r>
                      <w:r w:rsidR="0053676B">
                        <w:rPr>
                          <w:i/>
                          <w:iCs/>
                        </w:rPr>
                        <w:t xml:space="preserve">the </w:t>
                      </w:r>
                      <w:r w:rsidRPr="00DF2D5F">
                        <w:rPr>
                          <w:i/>
                          <w:iCs/>
                        </w:rPr>
                        <w:t>Netherlands and Germany. It is a strategic trend in NXP to further develop from hardware to hardware/software solution provider, therefore ITEA will be a key platform to support Europe’s and NXP’s strategy. Software is a major part of value creation in micro processing, executed in European NXP sites, including also Czech Republic and Romania. Therefore, NXP would like to listen, lea</w:t>
                      </w:r>
                      <w:r w:rsidR="00BA1469">
                        <w:rPr>
                          <w:i/>
                          <w:iCs/>
                        </w:rPr>
                        <w:t>r</w:t>
                      </w:r>
                      <w:r w:rsidRPr="00DF2D5F">
                        <w:rPr>
                          <w:i/>
                          <w:iCs/>
                        </w:rPr>
                        <w:t>n, support, connect, influence the ITEA program.”</w:t>
                      </w:r>
                      <w:r w:rsidR="00350F09" w:rsidRPr="00D67340">
                        <w:rPr>
                          <w:i/>
                          <w:iCs/>
                          <w:szCs w:val="20"/>
                        </w:rPr>
                        <w:br/>
                        <w:t xml:space="preserve"> </w:t>
                      </w:r>
                      <w:r w:rsidR="00350F09" w:rsidRPr="00D67340">
                        <w:rPr>
                          <w:b/>
                          <w:bCs/>
                          <w:szCs w:val="20"/>
                        </w:rPr>
                        <w:t xml:space="preserve">– </w:t>
                      </w:r>
                      <w:r w:rsidR="0001317E" w:rsidRPr="0001317E">
                        <w:rPr>
                          <w:b/>
                          <w:bCs/>
                          <w:szCs w:val="20"/>
                        </w:rPr>
                        <w:t>Daniel Weyl, Vice President Software R&amp;D at NXP Semiconductors</w:t>
                      </w:r>
                    </w:p>
                  </w:txbxContent>
                </v:textbox>
                <w10:wrap type="topAndBottom" anchorx="margin"/>
              </v:shape>
            </w:pict>
          </mc:Fallback>
        </mc:AlternateContent>
      </w:r>
    </w:p>
    <w:p w14:paraId="07086C5E" w14:textId="7FC159D1" w:rsidR="003531E4" w:rsidRPr="00B66D7D" w:rsidRDefault="00B66D7D" w:rsidP="0086446F">
      <w:pPr>
        <w:pStyle w:val="BodyText"/>
        <w:rPr>
          <w:b/>
          <w:bCs/>
        </w:rPr>
      </w:pPr>
      <w:r w:rsidRPr="00FD05D0">
        <w:rPr>
          <w:noProof/>
        </w:rPr>
        <w:lastRenderedPageBreak/>
        <mc:AlternateContent>
          <mc:Choice Requires="wps">
            <w:drawing>
              <wp:anchor distT="91440" distB="91440" distL="114300" distR="114300" simplePos="0" relativeHeight="251671552" behindDoc="0" locked="0" layoutInCell="1" allowOverlap="1" wp14:anchorId="633DAD08" wp14:editId="2A3935DC">
                <wp:simplePos x="0" y="0"/>
                <wp:positionH relativeFrom="margin">
                  <wp:align>center</wp:align>
                </wp:positionH>
                <wp:positionV relativeFrom="paragraph">
                  <wp:posOffset>0</wp:posOffset>
                </wp:positionV>
                <wp:extent cx="5448934" cy="1533524"/>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934" cy="1533524"/>
                        </a:xfrm>
                        <a:prstGeom prst="rect">
                          <a:avLst/>
                        </a:prstGeom>
                        <a:noFill/>
                        <a:ln w="9525">
                          <a:noFill/>
                          <a:miter lim="800000"/>
                          <a:headEnd/>
                          <a:tailEnd/>
                        </a:ln>
                      </wps:spPr>
                      <wps:txbx>
                        <w:txbxContent>
                          <w:p w14:paraId="37724B8E" w14:textId="210D477E" w:rsidR="009F482E" w:rsidRPr="00D67340" w:rsidRDefault="009F482E" w:rsidP="009F482E">
                            <w:pPr>
                              <w:pBdr>
                                <w:top w:val="single" w:sz="24" w:space="8" w:color="00A651" w:themeColor="accent1"/>
                                <w:bottom w:val="single" w:sz="24" w:space="10" w:color="00A651" w:themeColor="accent1"/>
                              </w:pBdr>
                              <w:spacing w:after="0"/>
                              <w:rPr>
                                <w:i/>
                                <w:iCs/>
                                <w:szCs w:val="20"/>
                              </w:rPr>
                            </w:pPr>
                            <w:r w:rsidRPr="00DF2D5F">
                              <w:rPr>
                                <w:i/>
                                <w:iCs/>
                              </w:rPr>
                              <w:t>“</w:t>
                            </w:r>
                            <w:r w:rsidR="000B39C3" w:rsidRPr="000B39C3">
                              <w:rPr>
                                <w:i/>
                                <w:iCs/>
                              </w:rPr>
                              <w:t xml:space="preserve">ITEA aims to deliver game-changing solutions through software innovation to improve quality of life and to create economic growth through strong business cases. NXP has been actively involved in ITEA projects and now NXP takes a strong role to present its ambition on </w:t>
                            </w:r>
                            <w:r w:rsidR="00733AD0">
                              <w:rPr>
                                <w:i/>
                                <w:iCs/>
                              </w:rPr>
                              <w:t>s</w:t>
                            </w:r>
                            <w:r w:rsidR="000B39C3" w:rsidRPr="000B39C3">
                              <w:rPr>
                                <w:i/>
                                <w:iCs/>
                              </w:rPr>
                              <w:t xml:space="preserve">oftware </w:t>
                            </w:r>
                            <w:r w:rsidR="00733AD0">
                              <w:rPr>
                                <w:i/>
                                <w:iCs/>
                              </w:rPr>
                              <w:t>i</w:t>
                            </w:r>
                            <w:r w:rsidR="000B39C3" w:rsidRPr="000B39C3">
                              <w:rPr>
                                <w:i/>
                                <w:iCs/>
                              </w:rPr>
                              <w:t xml:space="preserve">nnovation by joining </w:t>
                            </w:r>
                            <w:r w:rsidR="00162C61">
                              <w:rPr>
                                <w:i/>
                                <w:iCs/>
                              </w:rPr>
                              <w:t xml:space="preserve">the </w:t>
                            </w:r>
                            <w:r w:rsidR="000B39C3" w:rsidRPr="000B39C3">
                              <w:rPr>
                                <w:i/>
                                <w:iCs/>
                              </w:rPr>
                              <w:t xml:space="preserve">ITEA Board. </w:t>
                            </w:r>
                            <w:r w:rsidR="00162C61">
                              <w:rPr>
                                <w:i/>
                                <w:iCs/>
                              </w:rPr>
                              <w:t xml:space="preserve">The </w:t>
                            </w:r>
                            <w:r w:rsidR="000B39C3" w:rsidRPr="000B39C3">
                              <w:rPr>
                                <w:i/>
                                <w:iCs/>
                              </w:rPr>
                              <w:t>ITEA Board is now stronger to cover the technology value chain.”</w:t>
                            </w:r>
                            <w:r w:rsidRPr="00D67340">
                              <w:rPr>
                                <w:i/>
                                <w:iCs/>
                                <w:szCs w:val="20"/>
                              </w:rPr>
                              <w:br/>
                              <w:t xml:space="preserve"> </w:t>
                            </w:r>
                            <w:r w:rsidRPr="00D67340">
                              <w:rPr>
                                <w:b/>
                                <w:bCs/>
                                <w:szCs w:val="20"/>
                              </w:rPr>
                              <w:t xml:space="preserve">– </w:t>
                            </w:r>
                            <w:r w:rsidR="004F7401" w:rsidRPr="004F7401">
                              <w:rPr>
                                <w:b/>
                                <w:bCs/>
                                <w:szCs w:val="20"/>
                              </w:rPr>
                              <w:t>Zeynep Sarılar, ITEA Chairwoman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3DAD08" id="_x0000_s1029" type="#_x0000_t202" style="position:absolute;margin-left:0;margin-top:0;width:429.05pt;height:120.75pt;z-index:251671552;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eZUEQIAAPoDAAAOAAAAZHJzL2Uyb0RvYy54bWysU9uO2yAQfa/Uf0C8N04cu5tYcVbb3aaq&#10;tL1Iu/0AgnGMCgwFEjv9+g44SaPdt6o8IIZhzsw5M6xuB63IQTgvwdR0NplSIgyHRppdTX88b94t&#10;KPGBmYYpMKKmR+Hp7frtm1VvK5FDB6oRjiCI8VVva9qFYKss87wTmvkJWGHQ2YLTLKDpdlnjWI/o&#10;WmX5dPo+68E11gEX3uPtw+ik64TftoKHb23rRSCqplhbSLtL+zbu2XrFqp1jtpP8VAb7hyo0kwaT&#10;XqAeWGBk7+QrKC25Aw9tmHDQGbSt5CJxQDaz6Qs2Tx2zInFBcby9yOT/Hyz/evjuiGxqekOJYRpb&#10;9CyGQD7AQPKoTm99hY+eLD4LA15jlxNTbx+B//TEwH3HzE7cOQd9J1iD1c1iZHYVOuL4CLLtv0CD&#10;adg+QAIaWqejdCgGQXTs0vHSmVgKx8uyKBbLeUEJR9+snM/LvEg5WHUOt86HTwI0iYeaOmx9gmeH&#10;Rx9iOaw6P4nZDGykUqn9ypC+pssyL1PAlUfLgNOppK7pYhrXOC+R5UfTpODApBrPmECZE+3IdOQc&#10;hu2Q9J2f1dxCc0QdHIzDiJ8HDx2435T0OIg19b/2zAlK1GeDWi5nRREnNxlFeZOj4a4922sPMxyh&#10;ahooGY/3IU17pOztHWq+kUmN2JyxklPJOGBJpNNniBN8badXf7/s+g8AAAD//wMAUEsDBBQABgAI&#10;AAAAIQDt73mu3AAAAAUBAAAPAAAAZHJzL2Rvd25yZXYueG1sTI/BTsMwEETvSP0Ha5G4UScRhSiN&#10;U1VVW46FEnF2420SEa8t203D39dwgctKoxnNvC1Xkx7YiM73hgSk8wQYUmNUT62A+mP3mAPzQZKS&#10;gyEU8I0eVtXsrpSFMld6x/EYWhZLyBdSQBeCLTj3TYda+rmxSNE7G6dliNK1XDl5jeV64FmSPHMt&#10;e4oLnbS46bD5Ol60ABvs/uXVHd7W292Y1J/7OuvbrRAP99N6CSzgFP7C8IMf0aGKTCdzIeXZICA+&#10;En5v9PJFngI7Ccie0gXwquT/6asbAAAA//8DAFBLAQItABQABgAIAAAAIQC2gziS/gAAAOEBAAAT&#10;AAAAAAAAAAAAAAAAAAAAAABbQ29udGVudF9UeXBlc10ueG1sUEsBAi0AFAAGAAgAAAAhADj9If/W&#10;AAAAlAEAAAsAAAAAAAAAAAAAAAAALwEAAF9yZWxzLy5yZWxzUEsBAi0AFAAGAAgAAAAhAKPd5lQR&#10;AgAA+gMAAA4AAAAAAAAAAAAAAAAALgIAAGRycy9lMm9Eb2MueG1sUEsBAi0AFAAGAAgAAAAhAO3v&#10;ea7cAAAABQEAAA8AAAAAAAAAAAAAAAAAawQAAGRycy9kb3ducmV2LnhtbFBLBQYAAAAABAAEAPMA&#10;AAB0BQAAAAA=&#10;" filled="f" stroked="f">
                <v:textbox style="mso-fit-shape-to-text:t">
                  <w:txbxContent>
                    <w:p w14:paraId="37724B8E" w14:textId="210D477E" w:rsidR="009F482E" w:rsidRPr="00D67340" w:rsidRDefault="009F482E" w:rsidP="009F482E">
                      <w:pPr>
                        <w:pBdr>
                          <w:top w:val="single" w:sz="24" w:space="8" w:color="00A651" w:themeColor="accent1"/>
                          <w:bottom w:val="single" w:sz="24" w:space="10" w:color="00A651" w:themeColor="accent1"/>
                        </w:pBdr>
                        <w:spacing w:after="0"/>
                        <w:rPr>
                          <w:i/>
                          <w:iCs/>
                          <w:szCs w:val="20"/>
                        </w:rPr>
                      </w:pPr>
                      <w:r w:rsidRPr="00DF2D5F">
                        <w:rPr>
                          <w:i/>
                          <w:iCs/>
                        </w:rPr>
                        <w:t>“</w:t>
                      </w:r>
                      <w:r w:rsidR="000B39C3" w:rsidRPr="000B39C3">
                        <w:rPr>
                          <w:i/>
                          <w:iCs/>
                        </w:rPr>
                        <w:t xml:space="preserve">ITEA aims to deliver game-changing solutions through software innovation to improve quality of life and to create economic growth through strong business cases. NXP has been actively involved in ITEA projects and now NXP takes a strong role to present its ambition on </w:t>
                      </w:r>
                      <w:r w:rsidR="00733AD0">
                        <w:rPr>
                          <w:i/>
                          <w:iCs/>
                        </w:rPr>
                        <w:t>s</w:t>
                      </w:r>
                      <w:r w:rsidR="000B39C3" w:rsidRPr="000B39C3">
                        <w:rPr>
                          <w:i/>
                          <w:iCs/>
                        </w:rPr>
                        <w:t xml:space="preserve">oftware </w:t>
                      </w:r>
                      <w:r w:rsidR="00733AD0">
                        <w:rPr>
                          <w:i/>
                          <w:iCs/>
                        </w:rPr>
                        <w:t>i</w:t>
                      </w:r>
                      <w:r w:rsidR="000B39C3" w:rsidRPr="000B39C3">
                        <w:rPr>
                          <w:i/>
                          <w:iCs/>
                        </w:rPr>
                        <w:t xml:space="preserve">nnovation by joining </w:t>
                      </w:r>
                      <w:r w:rsidR="00162C61">
                        <w:rPr>
                          <w:i/>
                          <w:iCs/>
                        </w:rPr>
                        <w:t xml:space="preserve">the </w:t>
                      </w:r>
                      <w:r w:rsidR="000B39C3" w:rsidRPr="000B39C3">
                        <w:rPr>
                          <w:i/>
                          <w:iCs/>
                        </w:rPr>
                        <w:t xml:space="preserve">ITEA Board. </w:t>
                      </w:r>
                      <w:r w:rsidR="00162C61">
                        <w:rPr>
                          <w:i/>
                          <w:iCs/>
                        </w:rPr>
                        <w:t xml:space="preserve">The </w:t>
                      </w:r>
                      <w:r w:rsidR="000B39C3" w:rsidRPr="000B39C3">
                        <w:rPr>
                          <w:i/>
                          <w:iCs/>
                        </w:rPr>
                        <w:t>ITEA Board is now stronger to cover the technology value chain.”</w:t>
                      </w:r>
                      <w:r w:rsidRPr="00D67340">
                        <w:rPr>
                          <w:i/>
                          <w:iCs/>
                          <w:szCs w:val="20"/>
                        </w:rPr>
                        <w:br/>
                        <w:t xml:space="preserve"> </w:t>
                      </w:r>
                      <w:r w:rsidRPr="00D67340">
                        <w:rPr>
                          <w:b/>
                          <w:bCs/>
                          <w:szCs w:val="20"/>
                        </w:rPr>
                        <w:t xml:space="preserve">– </w:t>
                      </w:r>
                      <w:r w:rsidR="004F7401" w:rsidRPr="004F7401">
                        <w:rPr>
                          <w:b/>
                          <w:bCs/>
                          <w:szCs w:val="20"/>
                        </w:rPr>
                        <w:t>Zeynep Sarılar, ITEA Chairwoman</w:t>
                      </w:r>
                    </w:p>
                  </w:txbxContent>
                </v:textbox>
                <w10:wrap type="topAndBottom" anchorx="margin"/>
              </v:shape>
            </w:pict>
          </mc:Fallback>
        </mc:AlternateContent>
      </w:r>
    </w:p>
    <w:p w14:paraId="46184609" w14:textId="46CCACEA" w:rsidR="0008670C" w:rsidRPr="00FD05D0" w:rsidRDefault="0008670C" w:rsidP="0008670C">
      <w:pPr>
        <w:pStyle w:val="BodyText"/>
        <w:pBdr>
          <w:bottom w:val="single" w:sz="4" w:space="1" w:color="auto"/>
        </w:pBdr>
        <w:rPr>
          <w:sz w:val="14"/>
          <w:szCs w:val="14"/>
        </w:rPr>
      </w:pPr>
    </w:p>
    <w:p w14:paraId="2C43B27E" w14:textId="3EA6DE65" w:rsidR="0008670C" w:rsidRPr="00FD05D0" w:rsidRDefault="0008670C" w:rsidP="0008670C">
      <w:pPr>
        <w:pStyle w:val="BodyText"/>
        <w:rPr>
          <w:b/>
          <w:sz w:val="14"/>
          <w:szCs w:val="14"/>
        </w:rPr>
      </w:pPr>
    </w:p>
    <w:p w14:paraId="7C21902C" w14:textId="5951A813" w:rsidR="00350F09" w:rsidRPr="00FD05D0" w:rsidRDefault="00350F09" w:rsidP="0008670C">
      <w:pPr>
        <w:pStyle w:val="BodyText"/>
        <w:rPr>
          <w:b/>
          <w:color w:val="F36F21" w:themeColor="text2"/>
          <w:szCs w:val="20"/>
        </w:rPr>
      </w:pPr>
    </w:p>
    <w:p w14:paraId="3493AE7E" w14:textId="0DFE9EDF" w:rsidR="0008670C" w:rsidRPr="00FD05D0" w:rsidRDefault="0008670C" w:rsidP="0008670C">
      <w:pPr>
        <w:pStyle w:val="BodyText"/>
        <w:rPr>
          <w:b/>
          <w:color w:val="F36F21" w:themeColor="text2"/>
          <w:szCs w:val="20"/>
        </w:rPr>
      </w:pPr>
      <w:r w:rsidRPr="00FD05D0">
        <w:rPr>
          <w:b/>
          <w:color w:val="F36F21" w:themeColor="text2"/>
          <w:szCs w:val="20"/>
        </w:rPr>
        <w:t xml:space="preserve">Note for editors, not for publication </w:t>
      </w:r>
    </w:p>
    <w:p w14:paraId="6A68BEDC" w14:textId="5D60A6E3" w:rsidR="0008670C" w:rsidRPr="00FD05D0" w:rsidRDefault="0008670C" w:rsidP="00FC625B">
      <w:pPr>
        <w:pStyle w:val="BodyText"/>
        <w:rPr>
          <w:szCs w:val="20"/>
        </w:rPr>
      </w:pPr>
      <w:r w:rsidRPr="00FD05D0">
        <w:rPr>
          <w:szCs w:val="20"/>
        </w:rPr>
        <w:t>For interview requests, questions and additional information about ITEA, please contact</w:t>
      </w:r>
      <w:r w:rsidR="0077293E" w:rsidRPr="00FD05D0">
        <w:rPr>
          <w:szCs w:val="20"/>
        </w:rPr>
        <w:t xml:space="preserve"> </w:t>
      </w:r>
      <w:r w:rsidRPr="00FD05D0">
        <w:rPr>
          <w:szCs w:val="20"/>
        </w:rPr>
        <w:t>Linda van den Borne-Toupet</w:t>
      </w:r>
      <w:r w:rsidR="0077293E" w:rsidRPr="00FD05D0">
        <w:rPr>
          <w:szCs w:val="20"/>
        </w:rPr>
        <w:t xml:space="preserve">: </w:t>
      </w:r>
      <w:hyperlink r:id="rId19" w:history="1">
        <w:r w:rsidRPr="00FD05D0">
          <w:rPr>
            <w:rStyle w:val="Hyperlink"/>
            <w:szCs w:val="20"/>
          </w:rPr>
          <w:t>linda.van.den.borne@itea3.org</w:t>
        </w:r>
      </w:hyperlink>
      <w:r w:rsidRPr="00FD05D0">
        <w:rPr>
          <w:szCs w:val="20"/>
        </w:rPr>
        <w:t xml:space="preserve"> </w:t>
      </w:r>
    </w:p>
    <w:p w14:paraId="74CB8648" w14:textId="77777777" w:rsidR="0077293E" w:rsidRPr="00FD05D0" w:rsidRDefault="0077293E" w:rsidP="0008670C">
      <w:pPr>
        <w:pStyle w:val="BodyText"/>
        <w:rPr>
          <w:b/>
          <w:szCs w:val="20"/>
        </w:rPr>
      </w:pPr>
    </w:p>
    <w:p w14:paraId="06682215" w14:textId="5FEF2782" w:rsidR="0008670C" w:rsidRPr="00FD05D0" w:rsidRDefault="0008670C" w:rsidP="0008670C">
      <w:pPr>
        <w:pStyle w:val="BodyText"/>
        <w:rPr>
          <w:b/>
          <w:szCs w:val="20"/>
        </w:rPr>
      </w:pPr>
      <w:r w:rsidRPr="00FD05D0">
        <w:rPr>
          <w:b/>
          <w:szCs w:val="20"/>
        </w:rPr>
        <w:t xml:space="preserve">About ITEA </w:t>
      </w:r>
    </w:p>
    <w:p w14:paraId="47F8446C" w14:textId="43AC7E5B" w:rsidR="0008670C" w:rsidRPr="00FD05D0" w:rsidRDefault="00FC625B" w:rsidP="0008670C">
      <w:pPr>
        <w:pStyle w:val="BodyText"/>
        <w:rPr>
          <w:szCs w:val="20"/>
        </w:rPr>
      </w:pPr>
      <w:r w:rsidRPr="00FD05D0">
        <w:rPr>
          <w:szCs w:val="20"/>
        </w:rPr>
        <w:t xml:space="preserve">ITEA is a transnational and industry-driven R&amp;D&amp;I programme in the domain of software innovation. ITEA is a EUREKA Cluster programme, enabling a global and knowledgeable community of large industry, SMEs, start-ups, academia and customer organisations, to collaborate in funded projects that turn innovative ideas into new businesses, jobs, economic growth and benefits for society. </w:t>
      </w:r>
    </w:p>
    <w:p w14:paraId="13F86682" w14:textId="6FBDF725" w:rsidR="00EE3F2A" w:rsidRPr="00FD05D0" w:rsidRDefault="00DA53FB" w:rsidP="0008670C">
      <w:pPr>
        <w:pStyle w:val="BodyText"/>
        <w:rPr>
          <w:szCs w:val="20"/>
        </w:rPr>
      </w:pPr>
      <w:hyperlink r:id="rId20" w:history="1">
        <w:r w:rsidR="00F00C51" w:rsidRPr="00FD05D0">
          <w:rPr>
            <w:rStyle w:val="Hyperlink"/>
            <w:szCs w:val="20"/>
          </w:rPr>
          <w:t>https://www.itea3.org</w:t>
        </w:r>
      </w:hyperlink>
      <w:r w:rsidR="0008670C" w:rsidRPr="00FD05D0">
        <w:rPr>
          <w:szCs w:val="20"/>
        </w:rPr>
        <w:t xml:space="preserve">  </w:t>
      </w:r>
    </w:p>
    <w:p w14:paraId="2DF8E707" w14:textId="31522D04" w:rsidR="00284F2B" w:rsidRPr="00FD05D0" w:rsidRDefault="00284F2B" w:rsidP="0008670C">
      <w:pPr>
        <w:pStyle w:val="BodyText"/>
        <w:rPr>
          <w:szCs w:val="20"/>
        </w:rPr>
      </w:pPr>
    </w:p>
    <w:p w14:paraId="71BEF39B" w14:textId="3AE9C26F" w:rsidR="001710AC" w:rsidRPr="00FD05D0" w:rsidRDefault="001710AC" w:rsidP="001710AC">
      <w:pPr>
        <w:pStyle w:val="BodyText"/>
        <w:rPr>
          <w:b/>
          <w:bCs/>
        </w:rPr>
      </w:pPr>
      <w:r w:rsidRPr="00FD05D0">
        <w:rPr>
          <w:b/>
          <w:bCs/>
        </w:rPr>
        <w:t>About Esri Canada </w:t>
      </w:r>
    </w:p>
    <w:p w14:paraId="0F36AF40" w14:textId="77777777" w:rsidR="00B10D4B" w:rsidRPr="00FD05D0" w:rsidRDefault="001710AC" w:rsidP="001710AC">
      <w:pPr>
        <w:pStyle w:val="BodyText"/>
      </w:pPr>
      <w:r w:rsidRPr="00FD05D0">
        <w:t>Founded in 1984, Esri Canada provides geographic information system (GIS) solutions that empower people in business, government and education to make informed and timely decisions by leveraging the power of mapping and spatial analytics.</w:t>
      </w:r>
    </w:p>
    <w:p w14:paraId="45947227" w14:textId="52B1A905" w:rsidR="001710AC" w:rsidRPr="00FD05D0" w:rsidRDefault="00DA53FB" w:rsidP="001710AC">
      <w:pPr>
        <w:pStyle w:val="BodyText"/>
      </w:pPr>
      <w:hyperlink r:id="rId21" w:history="1">
        <w:r w:rsidR="00F00C51" w:rsidRPr="00FD05D0">
          <w:rPr>
            <w:rStyle w:val="Hyperlink"/>
            <w:rFonts w:cs="Arial"/>
          </w:rPr>
          <w:t>https://www.esri.ca</w:t>
        </w:r>
      </w:hyperlink>
    </w:p>
    <w:p w14:paraId="1FDCF8BB" w14:textId="4FA955B4" w:rsidR="001710AC" w:rsidRPr="00FD05D0" w:rsidRDefault="001710AC" w:rsidP="0008670C">
      <w:pPr>
        <w:pStyle w:val="BodyText"/>
      </w:pPr>
    </w:p>
    <w:p w14:paraId="753A78BD" w14:textId="77777777" w:rsidR="00BD60F1" w:rsidRPr="00FD05D0" w:rsidRDefault="00BD60F1" w:rsidP="00BD60F1">
      <w:pPr>
        <w:pStyle w:val="BodyText"/>
        <w:rPr>
          <w:b/>
          <w:bCs/>
        </w:rPr>
      </w:pPr>
      <w:r w:rsidRPr="00FD05D0">
        <w:rPr>
          <w:b/>
          <w:bCs/>
        </w:rPr>
        <w:t>About NXP</w:t>
      </w:r>
    </w:p>
    <w:p w14:paraId="5F36DBE0" w14:textId="77777777" w:rsidR="00BD60F1" w:rsidRPr="00FD05D0" w:rsidRDefault="00BD60F1" w:rsidP="00BD60F1">
      <w:pPr>
        <w:pStyle w:val="BodyText"/>
      </w:pPr>
      <w:r w:rsidRPr="00FD05D0">
        <w:t>NXP Semiconductors N.V. (NASDAQ: NXPI) enables secure connections for a smarter world, advancing solutions that make lives easier, better, and safer. As the world leader in secure connectivity solutions for embedded applications, NXP is driving innovation in the automotive, industrial &amp; IoT, mobile, and communication infrastructure markets. Built on more than 60 years of combined experience and expertise, the company has approximately 29,000 employees in more than 30 countries and posted revenue of $8.88 billion in 2019.</w:t>
      </w:r>
    </w:p>
    <w:p w14:paraId="2E49C191" w14:textId="08D4CF51" w:rsidR="00BD60F1" w:rsidRPr="00FD05D0" w:rsidRDefault="00DA53FB" w:rsidP="00BD60F1">
      <w:pPr>
        <w:pStyle w:val="BodyText"/>
      </w:pPr>
      <w:hyperlink r:id="rId22" w:history="1">
        <w:r w:rsidR="00BD60F1" w:rsidRPr="00FD05D0">
          <w:rPr>
            <w:rStyle w:val="Hyperlink"/>
          </w:rPr>
          <w:t>https://www.nxp.com/</w:t>
        </w:r>
      </w:hyperlink>
      <w:r w:rsidR="00BD60F1" w:rsidRPr="00FD05D0">
        <w:t xml:space="preserve"> </w:t>
      </w:r>
    </w:p>
    <w:p w14:paraId="49F2D72D" w14:textId="182A472F" w:rsidR="001710AC" w:rsidRPr="00FD05D0" w:rsidRDefault="001710AC" w:rsidP="002207AF">
      <w:pPr>
        <w:pStyle w:val="BodyText"/>
      </w:pPr>
    </w:p>
    <w:sectPr w:rsidR="001710AC" w:rsidRPr="00FD05D0" w:rsidSect="00B66D7D">
      <w:headerReference w:type="default" r:id="rId23"/>
      <w:footerReference w:type="default" r:id="rId24"/>
      <w:headerReference w:type="first" r:id="rId25"/>
      <w:footerReference w:type="first" r:id="rId26"/>
      <w:pgSz w:w="11906" w:h="16838"/>
      <w:pgMar w:top="1843" w:right="1133" w:bottom="851" w:left="1276"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C6A57" w14:textId="77777777" w:rsidR="00DA53FB" w:rsidRDefault="00DA53FB" w:rsidP="002B32D7">
      <w:r>
        <w:separator/>
      </w:r>
    </w:p>
  </w:endnote>
  <w:endnote w:type="continuationSeparator" w:id="0">
    <w:p w14:paraId="2A0AB0DD" w14:textId="77777777" w:rsidR="00DA53FB" w:rsidRDefault="00DA53FB" w:rsidP="002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0CF5" w14:textId="77777777" w:rsidR="0053374C" w:rsidRDefault="002B32D7" w:rsidP="002B32D7">
    <w:pPr>
      <w:pStyle w:val="Footer"/>
    </w:pPr>
    <w:r>
      <w:rPr>
        <w:noProof/>
        <w:lang w:val="nl-NL"/>
      </w:rPr>
      <w:drawing>
        <wp:anchor distT="0" distB="0" distL="114300" distR="114300" simplePos="0" relativeHeight="251661312" behindDoc="1" locked="0" layoutInCell="1" allowOverlap="1" wp14:anchorId="5662BD24" wp14:editId="24FF00DF">
          <wp:simplePos x="0" y="0"/>
          <wp:positionH relativeFrom="page">
            <wp:posOffset>4962875</wp:posOffset>
          </wp:positionH>
          <wp:positionV relativeFrom="page">
            <wp:posOffset>9074150</wp:posOffset>
          </wp:positionV>
          <wp:extent cx="2622550" cy="1629410"/>
          <wp:effectExtent l="0" t="0" r="6350" b="8890"/>
          <wp:wrapNone/>
          <wp:docPr id="291"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p>
  <w:p w14:paraId="7EE7E68C" w14:textId="77777777" w:rsidR="0053374C" w:rsidRDefault="0053374C" w:rsidP="002B32D7">
    <w:pPr>
      <w:pStyle w:val="Footer"/>
    </w:pPr>
  </w:p>
  <w:p w14:paraId="21847702" w14:textId="77777777" w:rsidR="0053374C" w:rsidRDefault="0053374C" w:rsidP="002B3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144FB" w14:textId="77777777" w:rsidR="00466926" w:rsidRDefault="00466926" w:rsidP="002B32D7">
    <w:pPr>
      <w:pStyle w:val="Footer"/>
    </w:pPr>
    <w:r>
      <w:rPr>
        <w:noProof/>
        <w:lang w:val="nl-NL"/>
      </w:rPr>
      <w:drawing>
        <wp:anchor distT="0" distB="0" distL="114300" distR="114300" simplePos="0" relativeHeight="251659264" behindDoc="1" locked="0" layoutInCell="1" allowOverlap="1" wp14:anchorId="294CAEB7" wp14:editId="7DD7586D">
          <wp:simplePos x="0" y="0"/>
          <wp:positionH relativeFrom="page">
            <wp:posOffset>4928235</wp:posOffset>
          </wp:positionH>
          <wp:positionV relativeFrom="page">
            <wp:posOffset>9063640</wp:posOffset>
          </wp:positionV>
          <wp:extent cx="2633839" cy="1636889"/>
          <wp:effectExtent l="0" t="0" r="0" b="1905"/>
          <wp:wrapNone/>
          <wp:docPr id="293"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9683B" w14:textId="77777777" w:rsidR="00DA53FB" w:rsidRDefault="00DA53FB" w:rsidP="002B32D7">
      <w:r>
        <w:separator/>
      </w:r>
    </w:p>
  </w:footnote>
  <w:footnote w:type="continuationSeparator" w:id="0">
    <w:p w14:paraId="6FCC8124" w14:textId="77777777" w:rsidR="00DA53FB" w:rsidRDefault="00DA53FB" w:rsidP="002B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279891"/>
      <w:docPartObj>
        <w:docPartGallery w:val="Page Numbers (Top of Page)"/>
        <w:docPartUnique/>
      </w:docPartObj>
    </w:sdtPr>
    <w:sdtEndPr/>
    <w:sdtContent>
      <w:p w14:paraId="08DD7427" w14:textId="77777777" w:rsidR="002E0BDD" w:rsidRDefault="00DA74AE" w:rsidP="002B32D7">
        <w:pPr>
          <w:pStyle w:val="Header"/>
          <w:jc w:val="right"/>
        </w:pPr>
        <w:r>
          <w:fldChar w:fldCharType="begin"/>
        </w:r>
        <w:r>
          <w:instrText xml:space="preserve"> PAGE   \* MERGEFORMAT </w:instrText>
        </w:r>
        <w:r>
          <w:fldChar w:fldCharType="separate"/>
        </w:r>
        <w:r w:rsidR="00A15FA7">
          <w:rPr>
            <w:noProof/>
          </w:rPr>
          <w:t>2</w:t>
        </w:r>
        <w:r>
          <w:rPr>
            <w:noProof/>
          </w:rPr>
          <w:fldChar w:fldCharType="end"/>
        </w:r>
        <w:r w:rsidR="002E0BDD">
          <w:rPr>
            <w:noProof/>
            <w:lang w:val="nl-NL"/>
          </w:rPr>
          <w:drawing>
            <wp:anchor distT="0" distB="0" distL="114300" distR="114300" simplePos="0" relativeHeight="251663360" behindDoc="1" locked="0" layoutInCell="1" allowOverlap="1" wp14:anchorId="75373897" wp14:editId="6282FE4D">
              <wp:simplePos x="0" y="0"/>
              <wp:positionH relativeFrom="page">
                <wp:align>left</wp:align>
              </wp:positionH>
              <wp:positionV relativeFrom="page">
                <wp:align>top</wp:align>
              </wp:positionV>
              <wp:extent cx="2688981" cy="1207477"/>
              <wp:effectExtent l="19050" t="0" r="0" b="0"/>
              <wp:wrapNone/>
              <wp:docPr id="290" name="Picture 290"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14:paraId="31C321B8" w14:textId="4693CAD4" w:rsidR="00466926" w:rsidRPr="00ED1AF8" w:rsidRDefault="00E26D54" w:rsidP="00ED1AF8">
    <w:pPr>
      <w:pStyle w:val="Header"/>
      <w:spacing w:line="276" w:lineRule="auto"/>
      <w:jc w:val="right"/>
    </w:pPr>
    <w:r>
      <w:t>ITEA 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10A87" w14:textId="77777777" w:rsidR="00466926" w:rsidRDefault="00466926" w:rsidP="002B32D7">
    <w:pPr>
      <w:pStyle w:val="Header"/>
    </w:pPr>
    <w:r>
      <w:rPr>
        <w:noProof/>
        <w:lang w:val="nl-NL"/>
      </w:rPr>
      <w:drawing>
        <wp:anchor distT="0" distB="0" distL="114300" distR="114300" simplePos="0" relativeHeight="251658240" behindDoc="1" locked="0" layoutInCell="1" allowOverlap="1" wp14:anchorId="65D128FA" wp14:editId="241DE0FA">
          <wp:simplePos x="0" y="0"/>
          <wp:positionH relativeFrom="page">
            <wp:posOffset>32675</wp:posOffset>
          </wp:positionH>
          <wp:positionV relativeFrom="page">
            <wp:align>top</wp:align>
          </wp:positionV>
          <wp:extent cx="7561977" cy="1207477"/>
          <wp:effectExtent l="19050" t="0" r="873" b="0"/>
          <wp:wrapNone/>
          <wp:docPr id="292"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B4F"/>
    <w:multiLevelType w:val="hybridMultilevel"/>
    <w:tmpl w:val="F41C67F8"/>
    <w:lvl w:ilvl="0" w:tplc="2D765136">
      <w:start w:val="1"/>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211A9"/>
    <w:multiLevelType w:val="hybridMultilevel"/>
    <w:tmpl w:val="E362D072"/>
    <w:lvl w:ilvl="0" w:tplc="3348D55C">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E434E4D"/>
    <w:multiLevelType w:val="hybridMultilevel"/>
    <w:tmpl w:val="60AC366A"/>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3302CC"/>
    <w:multiLevelType w:val="hybridMultilevel"/>
    <w:tmpl w:val="F5487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B20751"/>
    <w:multiLevelType w:val="hybridMultilevel"/>
    <w:tmpl w:val="D85CE18A"/>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9A5ECB"/>
    <w:multiLevelType w:val="hybridMultilevel"/>
    <w:tmpl w:val="B31CDBEE"/>
    <w:lvl w:ilvl="0" w:tplc="B6E606B0">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AE3061"/>
    <w:multiLevelType w:val="hybridMultilevel"/>
    <w:tmpl w:val="72720C5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C0628BC"/>
    <w:multiLevelType w:val="hybridMultilevel"/>
    <w:tmpl w:val="D4DEC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CA4396"/>
    <w:multiLevelType w:val="hybridMultilevel"/>
    <w:tmpl w:val="38FA1E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707E88"/>
    <w:multiLevelType w:val="hybridMultilevel"/>
    <w:tmpl w:val="DEDA012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DE118B9"/>
    <w:multiLevelType w:val="hybridMultilevel"/>
    <w:tmpl w:val="49F0D32C"/>
    <w:lvl w:ilvl="0" w:tplc="F0022624">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F0215E"/>
    <w:multiLevelType w:val="hybridMultilevel"/>
    <w:tmpl w:val="8D0C86BC"/>
    <w:lvl w:ilvl="0" w:tplc="69BA64E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09A70B6"/>
    <w:multiLevelType w:val="hybridMultilevel"/>
    <w:tmpl w:val="9FCCD2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7215B3A"/>
    <w:multiLevelType w:val="multilevel"/>
    <w:tmpl w:val="504A9BA2"/>
    <w:lvl w:ilvl="0">
      <w:start w:val="1"/>
      <w:numFmt w:val="decimal"/>
      <w:pStyle w:val="Heading2withnumbering"/>
      <w:lvlText w:val="%1."/>
      <w:lvlJc w:val="left"/>
      <w:pPr>
        <w:ind w:left="705" w:hanging="705"/>
      </w:pPr>
      <w:rPr>
        <w:rFonts w:hint="default"/>
      </w:rPr>
    </w:lvl>
    <w:lvl w:ilvl="1">
      <w:start w:val="1"/>
      <w:numFmt w:val="decimal"/>
      <w:pStyle w:val="Heading3withnumbering"/>
      <w:isLgl/>
      <w:lvlText w:val="%1.%2."/>
      <w:lvlJc w:val="left"/>
      <w:pPr>
        <w:ind w:left="720" w:hanging="720"/>
      </w:pPr>
      <w:rPr>
        <w:rFonts w:hint="default"/>
      </w:rPr>
    </w:lvl>
    <w:lvl w:ilvl="2">
      <w:start w:val="1"/>
      <w:numFmt w:val="decimal"/>
      <w:pStyle w:val="Heading4withnumbering"/>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599A2F7E"/>
    <w:multiLevelType w:val="hybridMultilevel"/>
    <w:tmpl w:val="42841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AD563C4"/>
    <w:multiLevelType w:val="hybridMultilevel"/>
    <w:tmpl w:val="638C760E"/>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03BED"/>
    <w:multiLevelType w:val="hybridMultilevel"/>
    <w:tmpl w:val="69F20382"/>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8363C17"/>
    <w:multiLevelType w:val="hybridMultilevel"/>
    <w:tmpl w:val="A61C222A"/>
    <w:lvl w:ilvl="0" w:tplc="1B2CE494">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D92B69"/>
    <w:multiLevelType w:val="hybridMultilevel"/>
    <w:tmpl w:val="3A98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0E1233"/>
    <w:multiLevelType w:val="hybridMultilevel"/>
    <w:tmpl w:val="AFC8238E"/>
    <w:lvl w:ilvl="0" w:tplc="69BA64E2">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68A6028"/>
    <w:multiLevelType w:val="hybridMultilevel"/>
    <w:tmpl w:val="628E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9C0DCB"/>
    <w:multiLevelType w:val="hybridMultilevel"/>
    <w:tmpl w:val="C89A605C"/>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1"/>
  </w:num>
  <w:num w:numId="4">
    <w:abstractNumId w:val="10"/>
  </w:num>
  <w:num w:numId="5">
    <w:abstractNumId w:val="7"/>
  </w:num>
  <w:num w:numId="6">
    <w:abstractNumId w:val="18"/>
  </w:num>
  <w:num w:numId="7">
    <w:abstractNumId w:val="24"/>
  </w:num>
  <w:num w:numId="8">
    <w:abstractNumId w:val="1"/>
  </w:num>
  <w:num w:numId="9">
    <w:abstractNumId w:val="20"/>
  </w:num>
  <w:num w:numId="10">
    <w:abstractNumId w:val="4"/>
  </w:num>
  <w:num w:numId="11">
    <w:abstractNumId w:val="14"/>
  </w:num>
  <w:num w:numId="12">
    <w:abstractNumId w:val="11"/>
  </w:num>
  <w:num w:numId="13">
    <w:abstractNumId w:val="19"/>
  </w:num>
  <w:num w:numId="14">
    <w:abstractNumId w:val="3"/>
  </w:num>
  <w:num w:numId="15">
    <w:abstractNumId w:val="0"/>
  </w:num>
  <w:num w:numId="16">
    <w:abstractNumId w:val="22"/>
  </w:num>
  <w:num w:numId="17">
    <w:abstractNumId w:val="6"/>
  </w:num>
  <w:num w:numId="18">
    <w:abstractNumId w:val="16"/>
  </w:num>
  <w:num w:numId="19">
    <w:abstractNumId w:val="13"/>
  </w:num>
  <w:num w:numId="20">
    <w:abstractNumId w:val="23"/>
  </w:num>
  <w:num w:numId="21">
    <w:abstractNumId w:val="8"/>
  </w:num>
  <w:num w:numId="22">
    <w:abstractNumId w:val="17"/>
  </w:num>
  <w:num w:numId="23">
    <w:abstractNumId w:val="2"/>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39"/>
    <w:rsid w:val="000100C9"/>
    <w:rsid w:val="00010F07"/>
    <w:rsid w:val="0001317E"/>
    <w:rsid w:val="0004781C"/>
    <w:rsid w:val="000568A5"/>
    <w:rsid w:val="0006226C"/>
    <w:rsid w:val="0008670C"/>
    <w:rsid w:val="0008734A"/>
    <w:rsid w:val="000B39C3"/>
    <w:rsid w:val="000F654D"/>
    <w:rsid w:val="00105AC1"/>
    <w:rsid w:val="00110433"/>
    <w:rsid w:val="00116AF7"/>
    <w:rsid w:val="00140CD6"/>
    <w:rsid w:val="00162C61"/>
    <w:rsid w:val="001710AC"/>
    <w:rsid w:val="0017124A"/>
    <w:rsid w:val="001750C4"/>
    <w:rsid w:val="001A3D58"/>
    <w:rsid w:val="001C16CF"/>
    <w:rsid w:val="001E38D1"/>
    <w:rsid w:val="001F1D82"/>
    <w:rsid w:val="001F76B7"/>
    <w:rsid w:val="00210202"/>
    <w:rsid w:val="002207AF"/>
    <w:rsid w:val="00221F66"/>
    <w:rsid w:val="00260716"/>
    <w:rsid w:val="00282B8D"/>
    <w:rsid w:val="002835E8"/>
    <w:rsid w:val="00284F2B"/>
    <w:rsid w:val="002A197B"/>
    <w:rsid w:val="002B32D7"/>
    <w:rsid w:val="002D47C3"/>
    <w:rsid w:val="002E0BDD"/>
    <w:rsid w:val="002E372C"/>
    <w:rsid w:val="002F0398"/>
    <w:rsid w:val="002F67C8"/>
    <w:rsid w:val="003165E4"/>
    <w:rsid w:val="00323E40"/>
    <w:rsid w:val="003361E2"/>
    <w:rsid w:val="00350F09"/>
    <w:rsid w:val="003531E4"/>
    <w:rsid w:val="00361213"/>
    <w:rsid w:val="00383865"/>
    <w:rsid w:val="003964AE"/>
    <w:rsid w:val="003B0638"/>
    <w:rsid w:val="003C0076"/>
    <w:rsid w:val="003C22D6"/>
    <w:rsid w:val="00403E12"/>
    <w:rsid w:val="00413432"/>
    <w:rsid w:val="004423CD"/>
    <w:rsid w:val="00444964"/>
    <w:rsid w:val="00444D27"/>
    <w:rsid w:val="00446D7D"/>
    <w:rsid w:val="00454A58"/>
    <w:rsid w:val="00466926"/>
    <w:rsid w:val="0046774E"/>
    <w:rsid w:val="00484482"/>
    <w:rsid w:val="00486B00"/>
    <w:rsid w:val="004964AE"/>
    <w:rsid w:val="004F61D1"/>
    <w:rsid w:val="004F624B"/>
    <w:rsid w:val="004F7401"/>
    <w:rsid w:val="004F7F50"/>
    <w:rsid w:val="005019F3"/>
    <w:rsid w:val="0053374C"/>
    <w:rsid w:val="0053676B"/>
    <w:rsid w:val="005433D9"/>
    <w:rsid w:val="00552689"/>
    <w:rsid w:val="0059379D"/>
    <w:rsid w:val="005B445D"/>
    <w:rsid w:val="005B61CF"/>
    <w:rsid w:val="005D6783"/>
    <w:rsid w:val="00610356"/>
    <w:rsid w:val="00627834"/>
    <w:rsid w:val="00631F48"/>
    <w:rsid w:val="00645330"/>
    <w:rsid w:val="0064750C"/>
    <w:rsid w:val="006742C0"/>
    <w:rsid w:val="0068253D"/>
    <w:rsid w:val="00697460"/>
    <w:rsid w:val="006B0B24"/>
    <w:rsid w:val="006C14F7"/>
    <w:rsid w:val="006D2556"/>
    <w:rsid w:val="006E6EFB"/>
    <w:rsid w:val="006F4474"/>
    <w:rsid w:val="007063A0"/>
    <w:rsid w:val="00710CDB"/>
    <w:rsid w:val="0071262E"/>
    <w:rsid w:val="00732EEA"/>
    <w:rsid w:val="00733AD0"/>
    <w:rsid w:val="0074009D"/>
    <w:rsid w:val="007469FB"/>
    <w:rsid w:val="0077293E"/>
    <w:rsid w:val="00777CB9"/>
    <w:rsid w:val="00782864"/>
    <w:rsid w:val="007968B4"/>
    <w:rsid w:val="007A2C7A"/>
    <w:rsid w:val="007B04E4"/>
    <w:rsid w:val="007D2AC5"/>
    <w:rsid w:val="007E1C6F"/>
    <w:rsid w:val="007F27F5"/>
    <w:rsid w:val="008010FB"/>
    <w:rsid w:val="008054A6"/>
    <w:rsid w:val="00821143"/>
    <w:rsid w:val="008474BE"/>
    <w:rsid w:val="0086446F"/>
    <w:rsid w:val="008C24C6"/>
    <w:rsid w:val="00904881"/>
    <w:rsid w:val="009237B1"/>
    <w:rsid w:val="009266C3"/>
    <w:rsid w:val="009623DC"/>
    <w:rsid w:val="009A2119"/>
    <w:rsid w:val="009F482E"/>
    <w:rsid w:val="00A15FA7"/>
    <w:rsid w:val="00A26D36"/>
    <w:rsid w:val="00A372D6"/>
    <w:rsid w:val="00A421D8"/>
    <w:rsid w:val="00A8297C"/>
    <w:rsid w:val="00A94CF4"/>
    <w:rsid w:val="00AA6DA4"/>
    <w:rsid w:val="00AB55AA"/>
    <w:rsid w:val="00B04F9C"/>
    <w:rsid w:val="00B10D4B"/>
    <w:rsid w:val="00B44BC6"/>
    <w:rsid w:val="00B60D04"/>
    <w:rsid w:val="00B66D7D"/>
    <w:rsid w:val="00B87674"/>
    <w:rsid w:val="00B92AB4"/>
    <w:rsid w:val="00BA1469"/>
    <w:rsid w:val="00BB594E"/>
    <w:rsid w:val="00BD60F1"/>
    <w:rsid w:val="00BF3D9D"/>
    <w:rsid w:val="00BF7889"/>
    <w:rsid w:val="00C21F99"/>
    <w:rsid w:val="00C23376"/>
    <w:rsid w:val="00C4021A"/>
    <w:rsid w:val="00C616E5"/>
    <w:rsid w:val="00C9254C"/>
    <w:rsid w:val="00C97E8B"/>
    <w:rsid w:val="00CD50D0"/>
    <w:rsid w:val="00CF0B57"/>
    <w:rsid w:val="00CF7139"/>
    <w:rsid w:val="00D04F22"/>
    <w:rsid w:val="00D35905"/>
    <w:rsid w:val="00D5636E"/>
    <w:rsid w:val="00D67340"/>
    <w:rsid w:val="00D72B27"/>
    <w:rsid w:val="00D77FF5"/>
    <w:rsid w:val="00DA53FB"/>
    <w:rsid w:val="00DA74AE"/>
    <w:rsid w:val="00E26D54"/>
    <w:rsid w:val="00E47101"/>
    <w:rsid w:val="00E855E2"/>
    <w:rsid w:val="00E955EA"/>
    <w:rsid w:val="00EB09A7"/>
    <w:rsid w:val="00ED1AF8"/>
    <w:rsid w:val="00EE39FD"/>
    <w:rsid w:val="00EE3F2A"/>
    <w:rsid w:val="00EE55BE"/>
    <w:rsid w:val="00F00C51"/>
    <w:rsid w:val="00F07563"/>
    <w:rsid w:val="00F1028A"/>
    <w:rsid w:val="00F30293"/>
    <w:rsid w:val="00F4787B"/>
    <w:rsid w:val="00F627D0"/>
    <w:rsid w:val="00F75D39"/>
    <w:rsid w:val="00F80AD1"/>
    <w:rsid w:val="00FB691D"/>
    <w:rsid w:val="00FC2AE8"/>
    <w:rsid w:val="00FC625B"/>
    <w:rsid w:val="00FD05D0"/>
    <w:rsid w:val="00FE25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B91B4"/>
  <w15:docId w15:val="{BB12A1D1-F1F5-4661-A4A5-7208F790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7460"/>
    <w:pPr>
      <w:spacing w:before="120" w:after="120" w:line="288" w:lineRule="auto"/>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F80AD1"/>
    <w:pPr>
      <w:keepNext/>
      <w:keepLines/>
      <w:spacing w:before="480" w:after="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rsid w:val="0086446F"/>
    <w:pPr>
      <w:keepNext/>
      <w:keepLines/>
      <w:spacing w:before="240" w:after="0"/>
      <w:outlineLvl w:val="3"/>
    </w:pPr>
    <w:rPr>
      <w:b/>
      <w:color w:val="000000" w:themeColor="text1"/>
    </w:rPr>
  </w:style>
  <w:style w:type="paragraph" w:styleId="Heading5">
    <w:name w:val="heading 5"/>
    <w:basedOn w:val="Normal"/>
    <w:next w:val="Normal"/>
    <w:link w:val="Heading5Char"/>
    <w:uiPriority w:val="9"/>
    <w:semiHidden/>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Subtitle">
    <w:name w:val="Subtitle"/>
    <w:next w:val="Normal"/>
    <w:link w:val="SubtitleChar"/>
    <w:uiPriority w:val="11"/>
    <w:qFormat/>
    <w:rsid w:val="00282B8D"/>
    <w:rPr>
      <w:rFonts w:ascii="Arial" w:eastAsiaTheme="majorEastAsia" w:hAnsi="Arial" w:cs="Arial"/>
      <w:bCs/>
      <w:color w:val="7F7F7F" w:themeColor="text1" w:themeTint="80"/>
      <w:spacing w:val="4"/>
      <w:sz w:val="32"/>
      <w:szCs w:val="24"/>
      <w:lang w:val="en-GB" w:eastAsia="nl-NL"/>
    </w:rPr>
  </w:style>
  <w:style w:type="character" w:customStyle="1" w:styleId="SubtitleChar">
    <w:name w:val="Subtitle Char"/>
    <w:basedOn w:val="DefaultParagraphFont"/>
    <w:link w:val="Subtitle"/>
    <w:uiPriority w:val="11"/>
    <w:rsid w:val="00282B8D"/>
    <w:rPr>
      <w:rFonts w:ascii="Arial" w:eastAsiaTheme="majorEastAsia" w:hAnsi="Arial" w:cs="Arial"/>
      <w:bCs/>
      <w:color w:val="7F7F7F" w:themeColor="text1" w:themeTint="80"/>
      <w:spacing w:val="4"/>
      <w:sz w:val="32"/>
      <w:szCs w:val="24"/>
      <w:lang w:val="en-GB" w:eastAsia="nl-NL"/>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paragraph" w:styleId="BodyText">
    <w:name w:val="Body Text"/>
    <w:link w:val="BodyTextChar"/>
    <w:qFormat/>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4F624B"/>
    <w:pPr>
      <w:numPr>
        <w:numId w:val="9"/>
      </w:numPr>
      <w:tabs>
        <w:tab w:val="left" w:pos="2268"/>
      </w:tabs>
      <w:ind w:left="714" w:hanging="357"/>
    </w:pPr>
    <w:rPr>
      <w:color w:val="000000" w:themeColor="text1"/>
      <w:szCs w:val="20"/>
    </w:rPr>
  </w:style>
  <w:style w:type="paragraph" w:customStyle="1" w:styleId="ActionStyle">
    <w:name w:val="ActionStyle"/>
    <w:basedOn w:val="Heading4"/>
    <w:rsid w:val="006B0B24"/>
    <w:pPr>
      <w:numPr>
        <w:numId w:val="23"/>
      </w:numPr>
    </w:pPr>
  </w:style>
  <w:style w:type="paragraph" w:customStyle="1" w:styleId="Numberingintables">
    <w:name w:val="Numbering in tables"/>
    <w:basedOn w:val="Normal"/>
    <w:rsid w:val="006B0B24"/>
    <w:pPr>
      <w:numPr>
        <w:numId w:val="5"/>
      </w:numPr>
      <w:tabs>
        <w:tab w:val="left" w:pos="2268"/>
      </w:tabs>
      <w:spacing w:after="0"/>
      <w:ind w:left="357" w:hanging="357"/>
    </w:pPr>
    <w:rPr>
      <w:color w:val="000000" w:themeColor="text1"/>
    </w:rPr>
  </w:style>
  <w:style w:type="paragraph" w:customStyle="1" w:styleId="Bulletsintables">
    <w:name w:val="Bullets in tables"/>
    <w:basedOn w:val="Normal"/>
    <w:qFormat/>
    <w:rsid w:val="006B0B24"/>
    <w:pPr>
      <w:numPr>
        <w:numId w:val="8"/>
      </w:numPr>
      <w:tabs>
        <w:tab w:val="left" w:pos="2268"/>
      </w:tabs>
      <w:spacing w:before="0" w:after="0"/>
      <w:ind w:left="714" w:hanging="357"/>
    </w:pPr>
    <w:rPr>
      <w:color w:val="000000" w:themeColor="text1"/>
    </w:rPr>
  </w:style>
  <w:style w:type="paragraph" w:customStyle="1" w:styleId="Heading2withnumbering">
    <w:name w:val="Heading 2 with numbering"/>
    <w:basedOn w:val="Heading2"/>
    <w:qFormat/>
    <w:rsid w:val="00282B8D"/>
    <w:pPr>
      <w:numPr>
        <w:numId w:val="18"/>
      </w:numPr>
      <w:ind w:left="425" w:hanging="425"/>
    </w:pPr>
    <w:rPr>
      <w:lang w:val="en-GB"/>
    </w:rPr>
  </w:style>
  <w:style w:type="paragraph" w:customStyle="1" w:styleId="Tableheader">
    <w:name w:val="Table header"/>
    <w:basedOn w:val="Normal"/>
    <w:rsid w:val="006B0B24"/>
    <w:pPr>
      <w:tabs>
        <w:tab w:val="left" w:pos="2268"/>
      </w:tabs>
    </w:pPr>
    <w:rPr>
      <w:b/>
      <w:color w:val="000000" w:themeColor="text1"/>
    </w:rPr>
  </w:style>
  <w:style w:type="paragraph" w:customStyle="1" w:styleId="Tablecontent">
    <w:name w:val="Table content"/>
    <w:basedOn w:val="Normal"/>
    <w:rsid w:val="006B0B24"/>
    <w:pPr>
      <w:tabs>
        <w:tab w:val="left" w:pos="2268"/>
      </w:tabs>
    </w:pPr>
    <w:rPr>
      <w:color w:val="000000" w:themeColor="text1"/>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customStyle="1" w:styleId="Heading3withnumbering">
    <w:name w:val="Heading 3 with numbering"/>
    <w:basedOn w:val="Heading3"/>
    <w:qFormat/>
    <w:rsid w:val="0017124A"/>
    <w:pPr>
      <w:numPr>
        <w:ilvl w:val="1"/>
        <w:numId w:val="18"/>
      </w:numPr>
      <w:tabs>
        <w:tab w:val="left" w:pos="567"/>
      </w:tabs>
    </w:pPr>
  </w:style>
  <w:style w:type="paragraph" w:customStyle="1" w:styleId="Heading4withnumbering">
    <w:name w:val="Heading 4 with numbering"/>
    <w:basedOn w:val="Heading4"/>
    <w:qFormat/>
    <w:rsid w:val="0017124A"/>
    <w:pPr>
      <w:numPr>
        <w:ilvl w:val="2"/>
        <w:numId w:val="18"/>
      </w:numPr>
    </w:pPr>
  </w:style>
  <w:style w:type="character" w:styleId="Hyperlink">
    <w:name w:val="Hyperlink"/>
    <w:basedOn w:val="DefaultParagraphFont"/>
    <w:uiPriority w:val="99"/>
    <w:unhideWhenUsed/>
    <w:rsid w:val="003B0638"/>
    <w:rPr>
      <w:color w:val="00A651" w:themeColor="hyperlink"/>
      <w:u w:val="single"/>
    </w:rPr>
  </w:style>
  <w:style w:type="character" w:styleId="UnresolvedMention">
    <w:name w:val="Unresolved Mention"/>
    <w:basedOn w:val="DefaultParagraphFont"/>
    <w:uiPriority w:val="99"/>
    <w:semiHidden/>
    <w:unhideWhenUsed/>
    <w:rsid w:val="003B0638"/>
    <w:rPr>
      <w:color w:val="605E5C"/>
      <w:shd w:val="clear" w:color="auto" w:fill="E1DFDD"/>
    </w:rPr>
  </w:style>
  <w:style w:type="character" w:styleId="CommentReference">
    <w:name w:val="annotation reference"/>
    <w:basedOn w:val="DefaultParagraphFont"/>
    <w:uiPriority w:val="99"/>
    <w:semiHidden/>
    <w:unhideWhenUsed/>
    <w:rsid w:val="00CF0B57"/>
    <w:rPr>
      <w:sz w:val="16"/>
      <w:szCs w:val="16"/>
    </w:rPr>
  </w:style>
  <w:style w:type="paragraph" w:styleId="CommentText">
    <w:name w:val="annotation text"/>
    <w:basedOn w:val="Normal"/>
    <w:link w:val="CommentTextChar"/>
    <w:uiPriority w:val="99"/>
    <w:semiHidden/>
    <w:unhideWhenUsed/>
    <w:rsid w:val="00CF0B57"/>
    <w:pPr>
      <w:spacing w:line="240" w:lineRule="auto"/>
    </w:pPr>
    <w:rPr>
      <w:szCs w:val="20"/>
    </w:rPr>
  </w:style>
  <w:style w:type="character" w:customStyle="1" w:styleId="CommentTextChar">
    <w:name w:val="Comment Text Char"/>
    <w:basedOn w:val="DefaultParagraphFont"/>
    <w:link w:val="CommentText"/>
    <w:uiPriority w:val="99"/>
    <w:semiHidden/>
    <w:rsid w:val="00CF0B57"/>
    <w:rPr>
      <w:rFonts w:ascii="Arial" w:eastAsia="Times New Roman" w:hAnsi="Arial" w:cs="Times New Roman"/>
      <w:spacing w:val="4"/>
      <w:sz w:val="20"/>
      <w:szCs w:val="20"/>
      <w:lang w:val="en-GB" w:eastAsia="nl-NL"/>
    </w:rPr>
  </w:style>
  <w:style w:type="paragraph" w:styleId="CommentSubject">
    <w:name w:val="annotation subject"/>
    <w:basedOn w:val="CommentText"/>
    <w:next w:val="CommentText"/>
    <w:link w:val="CommentSubjectChar"/>
    <w:uiPriority w:val="99"/>
    <w:semiHidden/>
    <w:unhideWhenUsed/>
    <w:rsid w:val="00CF0B57"/>
    <w:rPr>
      <w:b/>
      <w:bCs/>
    </w:rPr>
  </w:style>
  <w:style w:type="character" w:customStyle="1" w:styleId="CommentSubjectChar">
    <w:name w:val="Comment Subject Char"/>
    <w:basedOn w:val="CommentTextChar"/>
    <w:link w:val="CommentSubject"/>
    <w:uiPriority w:val="99"/>
    <w:semiHidden/>
    <w:rsid w:val="00CF0B57"/>
    <w:rPr>
      <w:rFonts w:ascii="Arial" w:eastAsia="Times New Roman" w:hAnsi="Arial" w:cs="Times New Roman"/>
      <w:b/>
      <w:bCs/>
      <w:spacing w:val="4"/>
      <w:sz w:val="20"/>
      <w:szCs w:val="20"/>
      <w:lang w:val="en-GB" w:eastAsia="nl-NL"/>
    </w:rPr>
  </w:style>
  <w:style w:type="character" w:styleId="FollowedHyperlink">
    <w:name w:val="FollowedHyperlink"/>
    <w:basedOn w:val="DefaultParagraphFont"/>
    <w:uiPriority w:val="99"/>
    <w:semiHidden/>
    <w:unhideWhenUsed/>
    <w:rsid w:val="00B10D4B"/>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78237">
      <w:bodyDiv w:val="1"/>
      <w:marLeft w:val="0"/>
      <w:marRight w:val="0"/>
      <w:marTop w:val="0"/>
      <w:marBottom w:val="0"/>
      <w:divBdr>
        <w:top w:val="none" w:sz="0" w:space="0" w:color="auto"/>
        <w:left w:val="none" w:sz="0" w:space="0" w:color="auto"/>
        <w:bottom w:val="none" w:sz="0" w:space="0" w:color="auto"/>
        <w:right w:val="none" w:sz="0" w:space="0" w:color="auto"/>
      </w:divBdr>
      <w:divsChild>
        <w:div w:id="2021198780">
          <w:marLeft w:val="0"/>
          <w:marRight w:val="0"/>
          <w:marTop w:val="0"/>
          <w:marBottom w:val="0"/>
          <w:divBdr>
            <w:top w:val="none" w:sz="0" w:space="0" w:color="auto"/>
            <w:left w:val="none" w:sz="0" w:space="0" w:color="auto"/>
            <w:bottom w:val="none" w:sz="0" w:space="0" w:color="auto"/>
            <w:right w:val="none" w:sz="0" w:space="0" w:color="auto"/>
          </w:divBdr>
        </w:div>
        <w:div w:id="801919176">
          <w:marLeft w:val="0"/>
          <w:marRight w:val="0"/>
          <w:marTop w:val="0"/>
          <w:marBottom w:val="0"/>
          <w:divBdr>
            <w:top w:val="none" w:sz="0" w:space="0" w:color="auto"/>
            <w:left w:val="none" w:sz="0" w:space="0" w:color="auto"/>
            <w:bottom w:val="none" w:sz="0" w:space="0" w:color="auto"/>
            <w:right w:val="none" w:sz="0" w:space="0" w:color="auto"/>
          </w:divBdr>
        </w:div>
        <w:div w:id="943996599">
          <w:marLeft w:val="0"/>
          <w:marRight w:val="0"/>
          <w:marTop w:val="0"/>
          <w:marBottom w:val="0"/>
          <w:divBdr>
            <w:top w:val="none" w:sz="0" w:space="0" w:color="auto"/>
            <w:left w:val="none" w:sz="0" w:space="0" w:color="auto"/>
            <w:bottom w:val="none" w:sz="0" w:space="0" w:color="auto"/>
            <w:right w:val="none" w:sz="0" w:space="0" w:color="auto"/>
          </w:divBdr>
        </w:div>
      </w:divsChild>
    </w:div>
    <w:div w:id="61635239">
      <w:bodyDiv w:val="1"/>
      <w:marLeft w:val="0"/>
      <w:marRight w:val="0"/>
      <w:marTop w:val="0"/>
      <w:marBottom w:val="0"/>
      <w:divBdr>
        <w:top w:val="none" w:sz="0" w:space="0" w:color="auto"/>
        <w:left w:val="none" w:sz="0" w:space="0" w:color="auto"/>
        <w:bottom w:val="none" w:sz="0" w:space="0" w:color="auto"/>
        <w:right w:val="none" w:sz="0" w:space="0" w:color="auto"/>
      </w:divBdr>
    </w:div>
    <w:div w:id="647248060">
      <w:bodyDiv w:val="1"/>
      <w:marLeft w:val="0"/>
      <w:marRight w:val="0"/>
      <w:marTop w:val="0"/>
      <w:marBottom w:val="0"/>
      <w:divBdr>
        <w:top w:val="none" w:sz="0" w:space="0" w:color="auto"/>
        <w:left w:val="none" w:sz="0" w:space="0" w:color="auto"/>
        <w:bottom w:val="none" w:sz="0" w:space="0" w:color="auto"/>
        <w:right w:val="none" w:sz="0" w:space="0" w:color="auto"/>
      </w:divBdr>
    </w:div>
    <w:div w:id="956639620">
      <w:bodyDiv w:val="1"/>
      <w:marLeft w:val="0"/>
      <w:marRight w:val="0"/>
      <w:marTop w:val="0"/>
      <w:marBottom w:val="0"/>
      <w:divBdr>
        <w:top w:val="none" w:sz="0" w:space="0" w:color="auto"/>
        <w:left w:val="none" w:sz="0" w:space="0" w:color="auto"/>
        <w:bottom w:val="none" w:sz="0" w:space="0" w:color="auto"/>
        <w:right w:val="none" w:sz="0" w:space="0" w:color="auto"/>
      </w:divBdr>
    </w:div>
    <w:div w:id="1665278423">
      <w:bodyDiv w:val="1"/>
      <w:marLeft w:val="0"/>
      <w:marRight w:val="0"/>
      <w:marTop w:val="0"/>
      <w:marBottom w:val="0"/>
      <w:divBdr>
        <w:top w:val="none" w:sz="0" w:space="0" w:color="auto"/>
        <w:left w:val="none" w:sz="0" w:space="0" w:color="auto"/>
        <w:bottom w:val="none" w:sz="0" w:space="0" w:color="auto"/>
        <w:right w:val="none" w:sz="0" w:space="0" w:color="auto"/>
      </w:divBdr>
    </w:div>
    <w:div w:id="184728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itea3.org/project/flex4apps.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sri.ca" TargetMode="External"/><Relationship Id="rId7" Type="http://schemas.openxmlformats.org/officeDocument/2006/relationships/settings" Target="settings.xml"/><Relationship Id="rId12" Type="http://schemas.openxmlformats.org/officeDocument/2006/relationships/hyperlink" Target="https://www.esri.ca/" TargetMode="External"/><Relationship Id="rId17" Type="http://schemas.openxmlformats.org/officeDocument/2006/relationships/hyperlink" Target="https://www.nxp.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itea3.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a3.org/magazine/37/november-2020/country-focus-canada.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tea3.org/project/smart.htm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inda.van.den.borne@itea3.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ea3.org/project/ps-crimson.html" TargetMode="External"/><Relationship Id="rId22" Type="http://schemas.openxmlformats.org/officeDocument/2006/relationships/hyperlink" Target="https://www.nxp.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7B72972718E94585BDF308920FFAEE" ma:contentTypeVersion="10" ma:contentTypeDescription="Een nieuw document maken." ma:contentTypeScope="" ma:versionID="926df496f595d15250470fbdf2accfc3">
  <xsd:schema xmlns:xsd="http://www.w3.org/2001/XMLSchema" xmlns:xs="http://www.w3.org/2001/XMLSchema" xmlns:p="http://schemas.microsoft.com/office/2006/metadata/properties" xmlns:ns2="8628f463-e3cf-4f2c-8f01-ec75b33edd67" targetNamespace="http://schemas.microsoft.com/office/2006/metadata/properties" ma:root="true" ma:fieldsID="4d6f783807d21140571a1fc0ff9e9859" ns2:_="">
    <xsd:import namespace="8628f463-e3cf-4f2c-8f01-ec75b33edd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8f463-e3cf-4f2c-8f01-ec75b33ed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221A8-43B5-400D-84B2-3525CDAE26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C0E446-E48C-46F4-84CF-B5E22A6BA95C}">
  <ds:schemaRefs>
    <ds:schemaRef ds:uri="http://schemas.openxmlformats.org/officeDocument/2006/bibliography"/>
  </ds:schemaRefs>
</ds:datastoreItem>
</file>

<file path=customXml/itemProps3.xml><?xml version="1.0" encoding="utf-8"?>
<ds:datastoreItem xmlns:ds="http://schemas.openxmlformats.org/officeDocument/2006/customXml" ds:itemID="{D5C2A630-B7B2-49E6-AB0D-1C9ECEF9D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8f463-e3cf-4f2c-8f01-ec75b33ed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7D11F-C44B-416D-B062-DA1FA965B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van den Borne</dc:creator>
  <cp:lastModifiedBy>Linda van den Borne-Toupet</cp:lastModifiedBy>
  <cp:revision>12</cp:revision>
  <cp:lastPrinted>2014-01-10T09:06:00Z</cp:lastPrinted>
  <dcterms:created xsi:type="dcterms:W3CDTF">2020-12-11T15:23:00Z</dcterms:created>
  <dcterms:modified xsi:type="dcterms:W3CDTF">2020-12-11T15:52:00Z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0x0101006C7B72972718E94585BDF308920FFAEE</vt:lpwstr>
  </property>
</Properties>
</file>