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D9D8F" w14:textId="41FD543E" w:rsidR="002D0720" w:rsidRPr="00504C90" w:rsidRDefault="00504C90" w:rsidP="002D0720">
      <w:pPr>
        <w:pStyle w:val="Heading1"/>
        <w:rPr>
          <w:lang w:val="en-US"/>
        </w:rPr>
      </w:pPr>
      <w:bookmarkStart w:id="0" w:name="_GoBack"/>
      <w:bookmarkEnd w:id="0"/>
      <w:r w:rsidRPr="00504C90">
        <w:rPr>
          <w:lang w:val="en-US"/>
        </w:rPr>
        <w:t>Press release</w:t>
      </w:r>
    </w:p>
    <w:p w14:paraId="2DC7FBAD" w14:textId="502A8A07" w:rsidR="002E0BDD" w:rsidRPr="00504C90" w:rsidRDefault="00504C90" w:rsidP="00DA74AE">
      <w:pPr>
        <w:pStyle w:val="NoSpacing"/>
        <w:pBdr>
          <w:bottom w:val="single" w:sz="4" w:space="1" w:color="00A651" w:themeColor="accent1"/>
        </w:pBdr>
        <w:spacing w:line="240" w:lineRule="auto"/>
        <w:rPr>
          <w:sz w:val="2"/>
          <w:szCs w:val="2"/>
          <w:lang w:val="en-US"/>
        </w:rPr>
      </w:pPr>
      <w:r w:rsidRPr="00504C90">
        <w:rPr>
          <w:rFonts w:eastAsiaTheme="majorEastAsia" w:cs="Arial"/>
          <w:bCs/>
          <w:color w:val="7F7F7F" w:themeColor="text1" w:themeTint="80"/>
          <w:spacing w:val="4"/>
          <w:sz w:val="36"/>
          <w:szCs w:val="24"/>
          <w:lang w:val="en-US" w:eastAsia="nl-NL"/>
        </w:rPr>
        <w:t xml:space="preserve">ITEA presents </w:t>
      </w:r>
      <w:r w:rsidR="00964805">
        <w:rPr>
          <w:rFonts w:eastAsiaTheme="majorEastAsia" w:cs="Arial"/>
          <w:bCs/>
          <w:color w:val="7F7F7F" w:themeColor="text1" w:themeTint="80"/>
          <w:spacing w:val="4"/>
          <w:sz w:val="36"/>
          <w:szCs w:val="24"/>
          <w:lang w:val="en-US" w:eastAsia="nl-NL"/>
        </w:rPr>
        <w:t xml:space="preserve">the </w:t>
      </w:r>
      <w:r w:rsidRPr="00504C90">
        <w:rPr>
          <w:rFonts w:eastAsiaTheme="majorEastAsia" w:cs="Arial"/>
          <w:bCs/>
          <w:color w:val="7F7F7F" w:themeColor="text1" w:themeTint="80"/>
          <w:spacing w:val="4"/>
          <w:sz w:val="36"/>
          <w:szCs w:val="24"/>
          <w:lang w:val="en-US" w:eastAsia="nl-NL"/>
        </w:rPr>
        <w:t xml:space="preserve">latest </w:t>
      </w:r>
      <w:r w:rsidR="00A01D28">
        <w:rPr>
          <w:rFonts w:eastAsiaTheme="majorEastAsia" w:cs="Arial"/>
          <w:bCs/>
          <w:color w:val="7F7F7F" w:themeColor="text1" w:themeTint="80"/>
          <w:spacing w:val="4"/>
          <w:sz w:val="36"/>
          <w:szCs w:val="24"/>
          <w:lang w:val="en-US" w:eastAsia="nl-NL"/>
        </w:rPr>
        <w:t xml:space="preserve">R&amp;D </w:t>
      </w:r>
      <w:r w:rsidRPr="00504C90">
        <w:rPr>
          <w:rFonts w:eastAsiaTheme="majorEastAsia" w:cs="Arial"/>
          <w:bCs/>
          <w:color w:val="7F7F7F" w:themeColor="text1" w:themeTint="80"/>
          <w:spacing w:val="4"/>
          <w:sz w:val="36"/>
          <w:szCs w:val="24"/>
          <w:lang w:val="en-US" w:eastAsia="nl-NL"/>
        </w:rPr>
        <w:t xml:space="preserve">innovations </w:t>
      </w:r>
      <w:r w:rsidR="00A01D28">
        <w:rPr>
          <w:rFonts w:eastAsiaTheme="majorEastAsia" w:cs="Arial"/>
          <w:bCs/>
          <w:color w:val="7F7F7F" w:themeColor="text1" w:themeTint="80"/>
          <w:spacing w:val="4"/>
          <w:sz w:val="36"/>
          <w:szCs w:val="24"/>
          <w:lang w:val="en-US" w:eastAsia="nl-NL"/>
        </w:rPr>
        <w:t>for</w:t>
      </w:r>
      <w:r w:rsidRPr="00504C90">
        <w:rPr>
          <w:rFonts w:eastAsiaTheme="majorEastAsia" w:cs="Arial"/>
          <w:bCs/>
          <w:color w:val="7F7F7F" w:themeColor="text1" w:themeTint="80"/>
          <w:spacing w:val="4"/>
          <w:sz w:val="36"/>
          <w:szCs w:val="24"/>
          <w:lang w:val="en-US" w:eastAsia="nl-NL"/>
        </w:rPr>
        <w:t xml:space="preserve"> cities at SCEWC </w:t>
      </w:r>
      <w:r>
        <w:rPr>
          <w:rFonts w:eastAsiaTheme="majorEastAsia" w:cs="Arial"/>
          <w:bCs/>
          <w:color w:val="7F7F7F" w:themeColor="text1" w:themeTint="80"/>
          <w:spacing w:val="4"/>
          <w:sz w:val="36"/>
          <w:szCs w:val="24"/>
          <w:lang w:val="en-US" w:eastAsia="nl-NL"/>
        </w:rPr>
        <w:t>2019</w:t>
      </w:r>
      <w:r w:rsidR="00A01D28">
        <w:rPr>
          <w:rFonts w:eastAsiaTheme="majorEastAsia" w:cs="Arial"/>
          <w:bCs/>
          <w:color w:val="7F7F7F" w:themeColor="text1" w:themeTint="80"/>
          <w:spacing w:val="4"/>
          <w:sz w:val="36"/>
          <w:szCs w:val="24"/>
          <w:lang w:val="en-US" w:eastAsia="nl-NL"/>
        </w:rPr>
        <w:br/>
      </w:r>
    </w:p>
    <w:p w14:paraId="6C0EF8AE" w14:textId="77777777" w:rsidR="002D0720" w:rsidRPr="00504C90" w:rsidRDefault="002D0720" w:rsidP="002D0720">
      <w:pPr>
        <w:pStyle w:val="BodyText"/>
        <w:rPr>
          <w:lang w:val="en-US"/>
        </w:rPr>
      </w:pPr>
    </w:p>
    <w:p w14:paraId="08F1152D" w14:textId="752E55FA" w:rsidR="00504C90" w:rsidRDefault="00504C90" w:rsidP="00504C90">
      <w:r w:rsidRPr="1EBA4F14">
        <w:t xml:space="preserve">ITEA, a key </w:t>
      </w:r>
      <w:r w:rsidR="00197941">
        <w:t>Pan-E</w:t>
      </w:r>
      <w:r w:rsidRPr="1EBA4F14">
        <w:t xml:space="preserve">uropean </w:t>
      </w:r>
      <w:r>
        <w:t>R</w:t>
      </w:r>
      <w:r w:rsidRPr="0072599F">
        <w:t xml:space="preserve">esearch, Development and Innovation programme </w:t>
      </w:r>
      <w:r w:rsidRPr="1EBA4F14">
        <w:t xml:space="preserve">in the field of software innovation and the digital transition, took the opportunity at the Smart City Expo </w:t>
      </w:r>
      <w:r>
        <w:t xml:space="preserve">World Congress </w:t>
      </w:r>
      <w:r w:rsidRPr="1EBA4F14">
        <w:t xml:space="preserve">(SCEWC) to showcase some of the latest innovations that address the challenges faced in the Smart Cities domain. </w:t>
      </w:r>
      <w:r w:rsidRPr="00F474F5">
        <w:t xml:space="preserve">This was a first for ITEA – reaching out beyond its own Community </w:t>
      </w:r>
      <w:r w:rsidR="00CF4E7B">
        <w:t>to</w:t>
      </w:r>
      <w:r>
        <w:t xml:space="preserve"> an exhibition event</w:t>
      </w:r>
      <w:r w:rsidRPr="00F474F5">
        <w:t xml:space="preserve"> and engaging with the wider Smart City environment. But it can also be regarded as a logical step for a platform dedicated to solving the challenges shared around the increasingly smart and urban world where health, energy, mobility, connectivity and other such issues need solutions. And as a software innovation platform, focused on actual </w:t>
      </w:r>
      <w:r w:rsidR="00250ECB">
        <w:t>customer</w:t>
      </w:r>
      <w:r w:rsidR="00250ECB" w:rsidRPr="00F474F5">
        <w:t xml:space="preserve"> </w:t>
      </w:r>
      <w:r w:rsidRPr="00F474F5">
        <w:t>needs and committed to the digital transition for a better society, this congress in Barcelona provided an ideal opportunity for ITEA to engage with a good number of the</w:t>
      </w:r>
      <w:r>
        <w:t xml:space="preserve"> almost</w:t>
      </w:r>
      <w:r w:rsidRPr="00F474F5">
        <w:t xml:space="preserve"> 2</w:t>
      </w:r>
      <w:r>
        <w:t>5</w:t>
      </w:r>
      <w:r w:rsidRPr="00F474F5">
        <w:t>,</w:t>
      </w:r>
      <w:r>
        <w:t>0</w:t>
      </w:r>
      <w:r w:rsidRPr="00F474F5">
        <w:t>00 visitors and potential customers and end users.</w:t>
      </w:r>
      <w:r>
        <w:t xml:space="preserve"> </w:t>
      </w:r>
      <w:r>
        <w:br/>
      </w:r>
    </w:p>
    <w:p w14:paraId="4FFF4B81" w14:textId="5FAD3591" w:rsidR="00B41398" w:rsidRDefault="00504C90" w:rsidP="00EA3D39">
      <w:r w:rsidRPr="00504C90">
        <w:rPr>
          <w:rStyle w:val="Heading3Char"/>
        </w:rPr>
        <w:t>Solving Smart City challenges</w:t>
      </w:r>
      <w:r>
        <w:br/>
      </w:r>
      <w:r w:rsidRPr="1EBA4F14">
        <w:t xml:space="preserve">The ITEA </w:t>
      </w:r>
      <w:r>
        <w:t>pavilion</w:t>
      </w:r>
      <w:r w:rsidRPr="1EBA4F14">
        <w:t xml:space="preserve"> contained 12 project booths, each focusing on a specific set of Smart City challenges</w:t>
      </w:r>
      <w:r>
        <w:t>. Just to mention a few</w:t>
      </w:r>
      <w:r w:rsidRPr="1EBA4F14">
        <w:t>, the DANGUN project</w:t>
      </w:r>
      <w:r w:rsidR="00197941">
        <w:t>,</w:t>
      </w:r>
      <w:r w:rsidRPr="1EBA4F14">
        <w:t xml:space="preserve"> involving French and Korean partners</w:t>
      </w:r>
      <w:r w:rsidR="00197941">
        <w:t>, wh</w:t>
      </w:r>
      <w:r w:rsidR="00CF4E7B">
        <w:t>ose</w:t>
      </w:r>
      <w:r w:rsidR="00197941">
        <w:t xml:space="preserve"> </w:t>
      </w:r>
      <w:r w:rsidRPr="1EBA4F14">
        <w:t>aim</w:t>
      </w:r>
      <w:r w:rsidR="00197941">
        <w:t xml:space="preserve"> is</w:t>
      </w:r>
      <w:r w:rsidRPr="1EBA4F14">
        <w:t xml:space="preserve"> to tackle urban mobility issues such as traffic jams and autonomous driving assistants in an affordable and practical way. Not for the few but for the many. Or PARTNER, a project that is geared to optimising the patient journey through the engagement of the patient beyond the hospital walls in his or her health and wellbeing. Health is part of the significant </w:t>
      </w:r>
      <w:r w:rsidRPr="00197941">
        <w:t>quality of life</w:t>
      </w:r>
      <w:r w:rsidRPr="1EBA4F14">
        <w:t xml:space="preserve"> challenge to cities both now and in the future. And </w:t>
      </w:r>
      <w:r>
        <w:t xml:space="preserve">with </w:t>
      </w:r>
      <w:r w:rsidRPr="1EBA4F14">
        <w:t xml:space="preserve">the quality of the air we breathe </w:t>
      </w:r>
      <w:r>
        <w:t xml:space="preserve">being </w:t>
      </w:r>
      <w:r w:rsidRPr="1EBA4F14">
        <w:t xml:space="preserve">a real measure of </w:t>
      </w:r>
      <w:r w:rsidR="00197941" w:rsidRPr="00197941">
        <w:t>wellbeing</w:t>
      </w:r>
      <w:r w:rsidRPr="1EBA4F14">
        <w:t xml:space="preserve"> in</w:t>
      </w:r>
      <w:r>
        <w:t xml:space="preserve"> cities, t</w:t>
      </w:r>
      <w:r w:rsidRPr="1EBA4F14">
        <w:t xml:space="preserve">he ESTABLISH project </w:t>
      </w:r>
      <w:r>
        <w:t xml:space="preserve">focuses on </w:t>
      </w:r>
      <w:r w:rsidRPr="1EBA4F14">
        <w:t>convert</w:t>
      </w:r>
      <w:r>
        <w:t>ing</w:t>
      </w:r>
      <w:r w:rsidRPr="1EBA4F14">
        <w:t xml:space="preserve"> sensor data into actionable information on an individual level</w:t>
      </w:r>
      <w:r>
        <w:t xml:space="preserve"> – for example, helping joggers choose the best time and place to jog.</w:t>
      </w:r>
      <w:r w:rsidRPr="1EBA4F14">
        <w:t xml:space="preserve"> </w:t>
      </w:r>
      <w:r>
        <w:t xml:space="preserve">In an effort to rejuvenate the high street </w:t>
      </w:r>
      <w:r w:rsidRPr="1EBA4F14">
        <w:t>bricks-and-mortar stores</w:t>
      </w:r>
      <w:r>
        <w:t xml:space="preserve">, in the face of </w:t>
      </w:r>
      <w:r w:rsidRPr="1EBA4F14">
        <w:t xml:space="preserve">e-commerce </w:t>
      </w:r>
      <w:r>
        <w:t xml:space="preserve">that has transformed </w:t>
      </w:r>
      <w:r w:rsidRPr="1EBA4F14">
        <w:t>the retail industry, the SOLOMON project uses technolog</w:t>
      </w:r>
      <w:r>
        <w:t xml:space="preserve">y to </w:t>
      </w:r>
      <w:r w:rsidRPr="1EBA4F14">
        <w:t>improve the customer experience</w:t>
      </w:r>
      <w:r>
        <w:t xml:space="preserve"> through seamless and affordable services</w:t>
      </w:r>
      <w:r w:rsidRPr="1EBA4F14">
        <w:t>, enabling interaction between technology and retailers, shop personnel and consumers.</w:t>
      </w:r>
      <w:r w:rsidR="00B41398">
        <w:t xml:space="preserve"> </w:t>
      </w:r>
      <w:r w:rsidR="00B41398" w:rsidRPr="00B41398">
        <w:t>A smart prognosis of energy usage can allocate a city’s available energy resources more effectively, reducing costs, emissions and energy peaks on the grid. Because industrial buildings and processes use a significant part of these resources, the SPEAR project is developing a flexible energy optimisation platform that will improve the energy consumption of both existing and new production plants</w:t>
      </w:r>
      <w:r w:rsidR="001933C6">
        <w:t xml:space="preserve"> and </w:t>
      </w:r>
      <w:r w:rsidR="001933C6" w:rsidRPr="00B41398">
        <w:t>industrial buildings</w:t>
      </w:r>
      <w:r w:rsidR="00B41398" w:rsidRPr="00B41398">
        <w:t xml:space="preserve"> during virtual commissioning and running production processes.</w:t>
      </w:r>
    </w:p>
    <w:p w14:paraId="78E166FC" w14:textId="24D520EB" w:rsidR="00A01D28" w:rsidRPr="00EA3D39" w:rsidRDefault="00504C90" w:rsidP="00EA3D39">
      <w:pPr>
        <w:rPr>
          <w:lang w:val="en-US"/>
        </w:rPr>
      </w:pPr>
      <w:r>
        <w:rPr>
          <w:b/>
          <w:bCs/>
        </w:rPr>
        <w:br/>
      </w:r>
      <w:r w:rsidRPr="00504C90">
        <w:rPr>
          <w:rStyle w:val="Heading3Char"/>
        </w:rPr>
        <w:t>Discovering innovation</w:t>
      </w:r>
      <w:r>
        <w:br/>
        <w:t xml:space="preserve">To help city representatives solve their individual Smart City challenges, </w:t>
      </w:r>
      <w:r w:rsidRPr="1EBA4F14">
        <w:t xml:space="preserve">ITEA offered customised Innovation Discovery tours </w:t>
      </w:r>
      <w:r w:rsidR="00CF4E7B">
        <w:t>at</w:t>
      </w:r>
      <w:r>
        <w:t xml:space="preserve"> its </w:t>
      </w:r>
      <w:r w:rsidR="00ED7F58">
        <w:t>pavilion</w:t>
      </w:r>
      <w:r>
        <w:t>, designed to introduce city representatives</w:t>
      </w:r>
      <w:r w:rsidRPr="1EBA4F14">
        <w:t xml:space="preserve"> to </w:t>
      </w:r>
      <w:r>
        <w:t xml:space="preserve">a set of </w:t>
      </w:r>
      <w:r w:rsidRPr="1EBA4F14">
        <w:t xml:space="preserve">projects that specifically deal with those challenges that </w:t>
      </w:r>
      <w:r w:rsidR="00CF4E7B">
        <w:t>are</w:t>
      </w:r>
      <w:r w:rsidRPr="1EBA4F14">
        <w:t xml:space="preserve"> of most concern or interest to them. </w:t>
      </w:r>
      <w:r>
        <w:t>About 20 representatives</w:t>
      </w:r>
      <w:r w:rsidR="00CF4E7B">
        <w:t>,</w:t>
      </w:r>
      <w:r>
        <w:t xml:space="preserve"> from Almere to Istanbul</w:t>
      </w:r>
      <w:r w:rsidR="00CF4E7B">
        <w:t xml:space="preserve"> and </w:t>
      </w:r>
      <w:r>
        <w:t>from Oulu to Grenoble</w:t>
      </w:r>
      <w:r w:rsidR="00CF4E7B">
        <w:t>,</w:t>
      </w:r>
      <w:r>
        <w:t xml:space="preserve"> benefited from such </w:t>
      </w:r>
      <w:r w:rsidR="00197941">
        <w:t>personalised</w:t>
      </w:r>
      <w:r>
        <w:t xml:space="preserve"> tour</w:t>
      </w:r>
      <w:r w:rsidR="00CF4E7B">
        <w:t xml:space="preserve">s that also </w:t>
      </w:r>
      <w:r>
        <w:t xml:space="preserve">provided the ITEA project partners with high-qualified visitors and </w:t>
      </w:r>
      <w:r w:rsidR="00CF4E7B">
        <w:t xml:space="preserve">opportunities for </w:t>
      </w:r>
      <w:r>
        <w:t>discussions.</w:t>
      </w:r>
      <w:r>
        <w:br/>
      </w:r>
      <w:r>
        <w:lastRenderedPageBreak/>
        <w:br/>
      </w:r>
      <w:r w:rsidRPr="1EBA4F14">
        <w:t>Furthermore, on the final day of the congress, ITEA organised a Smart City Innovation side event aimed at giving the audience of city stakeholders the possibility of actively engaging with ITEA project leaders in the latest ideas and developments as well as sharing challenges and perspectives.</w:t>
      </w:r>
      <w:r>
        <w:t xml:space="preserve"> Using an interactive tool, the audience provided views and opinions during the presentations, giving the projects a better insight </w:t>
      </w:r>
      <w:r w:rsidR="0031319D">
        <w:t>into</w:t>
      </w:r>
      <w:r>
        <w:t xml:space="preserve"> priorities and ideas of the audience. </w:t>
      </w:r>
      <w:r w:rsidR="00CF4E7B">
        <w:t>For example,</w:t>
      </w:r>
      <w:r>
        <w:t xml:space="preserve"> </w:t>
      </w:r>
      <w:r w:rsidR="00CF4E7B">
        <w:t>safety is a main priority in</w:t>
      </w:r>
      <w:r>
        <w:t xml:space="preserve"> all Smart City challenges, and although autonomous driving is already possible now for some traffic</w:t>
      </w:r>
      <w:r w:rsidR="00CF4E7B">
        <w:t xml:space="preserve"> </w:t>
      </w:r>
      <w:r w:rsidR="00EA3D39">
        <w:t>situations</w:t>
      </w:r>
      <w:r>
        <w:t xml:space="preserve">, 60% of the audience will only be ready in 10 years to buy a car with autonomous driving capabilities. </w:t>
      </w:r>
      <w:r w:rsidR="00CF4E7B">
        <w:t xml:space="preserve">It was evident that </w:t>
      </w:r>
      <w:r>
        <w:t xml:space="preserve">trust </w:t>
      </w:r>
      <w:r w:rsidR="00CF4E7B">
        <w:t xml:space="preserve">is an issue </w:t>
      </w:r>
      <w:r>
        <w:t>that needs to be resolved too.</w:t>
      </w:r>
      <w:r w:rsidR="00A01D28">
        <w:br/>
      </w:r>
      <w:r w:rsidR="00A01D28">
        <w:br/>
      </w:r>
      <w:r w:rsidRPr="1EBA4F14">
        <w:t xml:space="preserve">Zeynep Sarilar, </w:t>
      </w:r>
      <w:r w:rsidR="00673DE4">
        <w:t>C</w:t>
      </w:r>
      <w:r w:rsidRPr="1EBA4F14">
        <w:t>hair</w:t>
      </w:r>
      <w:r>
        <w:t xml:space="preserve">woman </w:t>
      </w:r>
      <w:r w:rsidRPr="1EBA4F14">
        <w:t xml:space="preserve">of ITEA, commented: </w:t>
      </w:r>
      <w:r w:rsidRPr="00F52E83">
        <w:rPr>
          <w:i/>
          <w:iCs/>
        </w:rPr>
        <w:t xml:space="preserve">“I think that this has been a very positive initiative. Looking at the 12 projects represented here, I can really appreciate how the smart solutions we are generating are not only exceptional from a technological perspective, but it is clear at a congress like this that our results are </w:t>
      </w:r>
      <w:r w:rsidR="00673DE4">
        <w:rPr>
          <w:i/>
          <w:iCs/>
        </w:rPr>
        <w:t xml:space="preserve">also </w:t>
      </w:r>
      <w:r w:rsidRPr="00F52E83">
        <w:rPr>
          <w:i/>
          <w:iCs/>
        </w:rPr>
        <w:t>having an impact on users. The feedback we have received from visitors to our booth suggest that this Smart City Expo is the right place for us to be. We are in the middle of the marketplace, close to the users of our innovations.</w:t>
      </w:r>
      <w:r>
        <w:t>” This is a sentiment echoed by the stand holders and project leaders present – an informative, enjoyable and beneficial experience</w:t>
      </w:r>
      <w:r w:rsidR="00CF4E7B">
        <w:t>.</w:t>
      </w:r>
      <w:r>
        <w:t xml:space="preserve"> </w:t>
      </w:r>
      <w:r w:rsidR="00CF4E7B">
        <w:t>I</w:t>
      </w:r>
      <w:r>
        <w:t xml:space="preserve">n the words of </w:t>
      </w:r>
      <w:proofErr w:type="spellStart"/>
      <w:r w:rsidR="00FF4F5A">
        <w:t>CitiSim</w:t>
      </w:r>
      <w:proofErr w:type="spellEnd"/>
      <w:r w:rsidR="00FF4F5A">
        <w:t xml:space="preserve"> project leader Carlos Jiménez: </w:t>
      </w:r>
      <w:r w:rsidR="00FF4F5A">
        <w:rPr>
          <w:rFonts w:cs="Arial"/>
        </w:rPr>
        <w:t xml:space="preserve">“In my opinion, participating in this edition of the Smart City Expo World Congress was a very successful experience for the </w:t>
      </w:r>
      <w:proofErr w:type="spellStart"/>
      <w:r w:rsidR="00FF4F5A">
        <w:rPr>
          <w:rFonts w:cs="Arial"/>
        </w:rPr>
        <w:t>CitiSim</w:t>
      </w:r>
      <w:proofErr w:type="spellEnd"/>
      <w:r w:rsidR="00FF4F5A">
        <w:rPr>
          <w:rFonts w:cs="Arial"/>
        </w:rPr>
        <w:t xml:space="preserve"> project. In that sense, being part of the ITEA Community together with other innovative projects had a very positive impact in terms of increasing the interest of the audience towards </w:t>
      </w:r>
      <w:r w:rsidR="00E05380">
        <w:rPr>
          <w:rFonts w:cs="Arial"/>
        </w:rPr>
        <w:t>our project</w:t>
      </w:r>
      <w:r w:rsidR="00FF4F5A">
        <w:rPr>
          <w:rFonts w:cs="Arial"/>
        </w:rPr>
        <w:t xml:space="preserve"> and attracting more visitors. In the same way, the support provided as well as the promotion opportunities managed by ITEA resulted not only in great possibilities for disseminating the outcomes of the project but also in interesting contacts for partners of the </w:t>
      </w:r>
      <w:proofErr w:type="spellStart"/>
      <w:r w:rsidR="00FF4F5A">
        <w:rPr>
          <w:rFonts w:cs="Arial"/>
        </w:rPr>
        <w:t>CitiSim</w:t>
      </w:r>
      <w:proofErr w:type="spellEnd"/>
      <w:r w:rsidR="00FF4F5A">
        <w:rPr>
          <w:rFonts w:cs="Arial"/>
        </w:rPr>
        <w:t xml:space="preserve"> project. This event was also a great chance for </w:t>
      </w:r>
      <w:r w:rsidR="00CF4E7B">
        <w:rPr>
          <w:rFonts w:cs="Arial"/>
        </w:rPr>
        <w:t xml:space="preserve">us to </w:t>
      </w:r>
      <w:r w:rsidR="00FF4F5A">
        <w:rPr>
          <w:rFonts w:cs="Arial"/>
        </w:rPr>
        <w:t>test and show some of our real-world demonstrators and updat</w:t>
      </w:r>
      <w:r w:rsidR="00CF4E7B">
        <w:rPr>
          <w:rFonts w:cs="Arial"/>
        </w:rPr>
        <w:t>e</w:t>
      </w:r>
      <w:r w:rsidR="00FF4F5A">
        <w:rPr>
          <w:rFonts w:cs="Arial"/>
        </w:rPr>
        <w:t xml:space="preserve"> our knowledge about real market demands.”</w:t>
      </w:r>
      <w:r>
        <w:t xml:space="preserve"> Has ITEA chosen the right </w:t>
      </w:r>
      <w:r w:rsidR="00960187">
        <w:t>path</w:t>
      </w:r>
      <w:r>
        <w:t xml:space="preserve">? </w:t>
      </w:r>
      <w:r w:rsidRPr="00443EE9">
        <w:rPr>
          <w:lang w:val="en-US"/>
        </w:rPr>
        <w:t xml:space="preserve">There is much to suggest that it has. </w:t>
      </w:r>
    </w:p>
    <w:p w14:paraId="042EB851" w14:textId="0F61BFD7" w:rsidR="00A01D28" w:rsidRPr="00D70FDC" w:rsidRDefault="00A01D28" w:rsidP="00A01D28">
      <w:pPr>
        <w:pStyle w:val="Heading3"/>
        <w:pBdr>
          <w:bottom w:val="single" w:sz="4" w:space="1" w:color="auto"/>
        </w:pBdr>
        <w:rPr>
          <w:lang w:eastAsia="en-US"/>
        </w:rPr>
      </w:pPr>
    </w:p>
    <w:p w14:paraId="23422D5D" w14:textId="3CD2FDFC" w:rsidR="00504C90" w:rsidRPr="00504C90" w:rsidRDefault="00504C90" w:rsidP="00504C90">
      <w:pPr>
        <w:pStyle w:val="Heading3"/>
        <w:rPr>
          <w:lang w:val="en-US" w:eastAsia="en-US"/>
        </w:rPr>
      </w:pPr>
      <w:r w:rsidRPr="00E82399">
        <w:rPr>
          <w:lang w:val="en-US" w:eastAsia="en-US"/>
        </w:rPr>
        <w:t>Note for editors, not for publication</w:t>
      </w:r>
    </w:p>
    <w:p w14:paraId="7AE34341" w14:textId="77777777" w:rsidR="00EA3D39" w:rsidRDefault="00504C90" w:rsidP="00504C90">
      <w:pPr>
        <w:rPr>
          <w:lang w:val="en-US" w:eastAsia="en-US"/>
        </w:rPr>
      </w:pPr>
      <w:r w:rsidRPr="00E82399">
        <w:rPr>
          <w:lang w:val="en-US" w:eastAsia="en-US"/>
        </w:rPr>
        <w:t>For questions and additional information about ITEA, please contact:</w:t>
      </w:r>
    </w:p>
    <w:p w14:paraId="0CB9E073" w14:textId="7894FB35" w:rsidR="00504C90" w:rsidRPr="00EA3D39" w:rsidRDefault="00504C90" w:rsidP="00504C90">
      <w:pPr>
        <w:rPr>
          <w:lang w:val="nl-NL" w:eastAsia="en-US"/>
        </w:rPr>
      </w:pPr>
      <w:r w:rsidRPr="0031319D">
        <w:rPr>
          <w:lang w:eastAsia="en-US"/>
        </w:rPr>
        <w:br/>
      </w:r>
      <w:r w:rsidRPr="00E82399">
        <w:rPr>
          <w:i/>
          <w:iCs/>
          <w:lang w:val="nl-NL" w:eastAsia="en-US"/>
        </w:rPr>
        <w:t xml:space="preserve">ITEA </w:t>
      </w:r>
      <w:r>
        <w:rPr>
          <w:i/>
          <w:iCs/>
          <w:lang w:val="nl-NL" w:eastAsia="en-US"/>
        </w:rPr>
        <w:t>c</w:t>
      </w:r>
      <w:r w:rsidRPr="00E82399">
        <w:rPr>
          <w:i/>
          <w:iCs/>
          <w:lang w:val="nl-NL" w:eastAsia="en-US"/>
        </w:rPr>
        <w:t>ontact person</w:t>
      </w:r>
      <w:r w:rsidRPr="00E82399">
        <w:rPr>
          <w:i/>
          <w:iCs/>
          <w:lang w:val="nl-NL" w:eastAsia="en-US"/>
        </w:rPr>
        <w:br/>
      </w:r>
      <w:r w:rsidRPr="00E82399">
        <w:rPr>
          <w:lang w:val="nl-NL" w:eastAsia="en-US"/>
        </w:rPr>
        <w:t>Linda van den Borne</w:t>
      </w:r>
      <w:r>
        <w:rPr>
          <w:lang w:val="nl-NL" w:eastAsia="en-US"/>
        </w:rPr>
        <w:br/>
      </w:r>
      <w:r w:rsidRPr="00E82399">
        <w:rPr>
          <w:lang w:val="nl-NL" w:eastAsia="en-US"/>
        </w:rPr>
        <w:t>Tel: +31 88 003 6136</w:t>
      </w:r>
      <w:r>
        <w:rPr>
          <w:lang w:val="nl-NL" w:eastAsia="en-US"/>
        </w:rPr>
        <w:br/>
      </w:r>
      <w:hyperlink r:id="rId8" w:history="1">
        <w:r w:rsidR="00EA3D39" w:rsidRPr="00E54865">
          <w:rPr>
            <w:rStyle w:val="Hyperlink"/>
            <w:lang w:val="nl-NL"/>
          </w:rPr>
          <w:t>linda.van.den.borne@itea3.org</w:t>
        </w:r>
      </w:hyperlink>
      <w:r w:rsidR="00EA3D39">
        <w:rPr>
          <w:lang w:val="nl-NL"/>
        </w:rPr>
        <w:t xml:space="preserve"> </w:t>
      </w:r>
      <w:r w:rsidR="00D70FDC">
        <w:rPr>
          <w:lang w:val="nl-NL"/>
        </w:rPr>
        <w:t xml:space="preserve"> </w:t>
      </w:r>
    </w:p>
    <w:p w14:paraId="51E46129" w14:textId="77777777" w:rsidR="00504C90" w:rsidRDefault="00504C90" w:rsidP="00504C90">
      <w:pPr>
        <w:pStyle w:val="Heading3"/>
        <w:pBdr>
          <w:bottom w:val="single" w:sz="4" w:space="1" w:color="auto"/>
        </w:pBdr>
        <w:rPr>
          <w:lang w:val="nl-NL" w:eastAsia="en-US"/>
        </w:rPr>
      </w:pPr>
    </w:p>
    <w:p w14:paraId="09AD4E16" w14:textId="77777777" w:rsidR="00EA3D39" w:rsidRPr="00B41398" w:rsidRDefault="00EA3D39">
      <w:pPr>
        <w:spacing w:before="0" w:after="200" w:line="276" w:lineRule="auto"/>
        <w:rPr>
          <w:rFonts w:eastAsiaTheme="majorEastAsia" w:cs="Arial"/>
          <w:b/>
          <w:bCs/>
          <w:color w:val="7F7F7F" w:themeColor="text1" w:themeTint="80"/>
          <w:sz w:val="24"/>
          <w:lang w:val="nl-NL" w:eastAsia="en-US"/>
        </w:rPr>
      </w:pPr>
      <w:r w:rsidRPr="00B41398">
        <w:rPr>
          <w:lang w:val="nl-NL" w:eastAsia="en-US"/>
        </w:rPr>
        <w:br w:type="page"/>
      </w:r>
    </w:p>
    <w:p w14:paraId="41704360" w14:textId="0ED12CB8" w:rsidR="00504C90" w:rsidRPr="00804B14" w:rsidRDefault="00504C90" w:rsidP="00504C90">
      <w:pPr>
        <w:pStyle w:val="Heading3"/>
        <w:rPr>
          <w:lang w:val="en-US" w:eastAsia="en-US"/>
        </w:rPr>
      </w:pPr>
      <w:r w:rsidRPr="00804B14">
        <w:rPr>
          <w:lang w:val="en-US" w:eastAsia="en-US"/>
        </w:rPr>
        <w:lastRenderedPageBreak/>
        <w:t>About ITEA</w:t>
      </w:r>
    </w:p>
    <w:p w14:paraId="0AD59FC8" w14:textId="77777777" w:rsidR="00504C90" w:rsidRDefault="00504C90" w:rsidP="00504C90">
      <w:pPr>
        <w:rPr>
          <w:rFonts w:ascii="Calibri" w:hAnsi="Calibri"/>
          <w:spacing w:val="0"/>
          <w:szCs w:val="22"/>
          <w:lang w:eastAsia="en-US"/>
        </w:rPr>
      </w:pPr>
      <w:r>
        <w:rPr>
          <w:rFonts w:cs="Arial"/>
          <w:szCs w:val="20"/>
        </w:rPr>
        <w:t>ITEA is the EUREKA Cluster programme for software innovation, enabling a large international community to collaborate in funded projects that turn innovative ideas into new businesses, jobs, economic growth and benefits for society. It covers a wide range of business opportunities facilitated by digitisation like smart mobility, healthcare, smart cities and energy, manufacturing, engineering and safety &amp; security. ITEA pushes important technology fields like artificial intelligence, big data, simulation and high-performance computing into concrete business applications. ITEA is open to large industry, small and medium-sized enterprises (SMEs), start-ups, academia and customer organisations. Its bottom-up project creation ensures that the project ideas are industry-driven and based on actual customer needs.</w:t>
      </w:r>
    </w:p>
    <w:p w14:paraId="251A7F9F" w14:textId="2AE0340E" w:rsidR="000F0DD2" w:rsidRPr="00504C90" w:rsidRDefault="00504C90" w:rsidP="00A01D28">
      <w:pPr>
        <w:rPr>
          <w:lang w:val="fr-FR" w:eastAsia="en-US"/>
        </w:rPr>
      </w:pPr>
      <w:r>
        <w:rPr>
          <w:rFonts w:cs="Arial"/>
          <w:szCs w:val="20"/>
        </w:rPr>
        <w:t>Mor</w:t>
      </w:r>
      <w:r w:rsidRPr="00084FAF">
        <w:rPr>
          <w:rFonts w:cs="Arial"/>
          <w:szCs w:val="20"/>
        </w:rPr>
        <w:t>e</w:t>
      </w:r>
      <w:r>
        <w:rPr>
          <w:rFonts w:cs="Arial"/>
          <w:szCs w:val="20"/>
        </w:rPr>
        <w:t xml:space="preserve"> information</w:t>
      </w:r>
      <w:r w:rsidRPr="00084FAF">
        <w:rPr>
          <w:rFonts w:cs="Arial"/>
          <w:szCs w:val="20"/>
        </w:rPr>
        <w:t xml:space="preserve">: </w:t>
      </w:r>
      <w:hyperlink r:id="rId9" w:history="1">
        <w:r w:rsidR="00EA3D39" w:rsidRPr="00E54865">
          <w:rPr>
            <w:rStyle w:val="Hyperlink"/>
            <w:rFonts w:cs="Arial"/>
            <w:szCs w:val="20"/>
          </w:rPr>
          <w:t>https://itea3.org</w:t>
        </w:r>
      </w:hyperlink>
      <w:r w:rsidR="00EA3D39">
        <w:rPr>
          <w:rFonts w:cs="Arial"/>
          <w:szCs w:val="20"/>
        </w:rPr>
        <w:t xml:space="preserve"> </w:t>
      </w:r>
      <w:r w:rsidRPr="00084FAF">
        <w:rPr>
          <w:rFonts w:cs="Arial"/>
          <w:szCs w:val="20"/>
        </w:rPr>
        <w:t xml:space="preserve"> </w:t>
      </w:r>
    </w:p>
    <w:sectPr w:rsidR="000F0DD2" w:rsidRPr="00504C90" w:rsidSect="00DF14D9">
      <w:headerReference w:type="default" r:id="rId10"/>
      <w:footerReference w:type="default" r:id="rId11"/>
      <w:headerReference w:type="first" r:id="rId12"/>
      <w:footerReference w:type="first" r:id="rId13"/>
      <w:pgSz w:w="11906" w:h="16838"/>
      <w:pgMar w:top="1985" w:right="1418" w:bottom="851" w:left="1418"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D38B4" w14:textId="77777777" w:rsidR="00B50027" w:rsidRDefault="00B50027" w:rsidP="002B32D7">
      <w:r>
        <w:separator/>
      </w:r>
    </w:p>
  </w:endnote>
  <w:endnote w:type="continuationSeparator" w:id="0">
    <w:p w14:paraId="26F578CA" w14:textId="77777777" w:rsidR="00B50027" w:rsidRDefault="00B50027" w:rsidP="002B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57A1D" w14:textId="77777777" w:rsidR="0053374C" w:rsidRDefault="002B32D7" w:rsidP="002B32D7">
    <w:pPr>
      <w:pStyle w:val="Footer"/>
    </w:pPr>
    <w:r>
      <w:rPr>
        <w:noProof/>
        <w:lang w:eastAsia="en-GB"/>
      </w:rPr>
      <w:drawing>
        <wp:anchor distT="0" distB="0" distL="114300" distR="114300" simplePos="0" relativeHeight="251661312" behindDoc="1" locked="0" layoutInCell="1" allowOverlap="1" wp14:anchorId="30DAF752" wp14:editId="5B4ED14A">
          <wp:simplePos x="0" y="0"/>
          <wp:positionH relativeFrom="page">
            <wp:posOffset>4962875</wp:posOffset>
          </wp:positionH>
          <wp:positionV relativeFrom="page">
            <wp:posOffset>9074150</wp:posOffset>
          </wp:positionV>
          <wp:extent cx="2622550" cy="1629410"/>
          <wp:effectExtent l="0" t="0" r="6350" b="8890"/>
          <wp:wrapNone/>
          <wp:docPr id="14" name="Picture 4"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22550" cy="1629410"/>
                  </a:xfrm>
                  <a:prstGeom prst="rect">
                    <a:avLst/>
                  </a:prstGeom>
                </pic:spPr>
              </pic:pic>
            </a:graphicData>
          </a:graphic>
        </wp:anchor>
      </w:drawing>
    </w:r>
  </w:p>
  <w:p w14:paraId="2B3A89D8" w14:textId="77777777" w:rsidR="0053374C" w:rsidRDefault="0053374C" w:rsidP="002B32D7">
    <w:pPr>
      <w:pStyle w:val="Footer"/>
    </w:pPr>
  </w:p>
  <w:p w14:paraId="7FC6FF1A" w14:textId="77777777" w:rsidR="0053374C" w:rsidRDefault="0053374C" w:rsidP="002B3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4E9FB" w14:textId="77777777" w:rsidR="00466926" w:rsidRDefault="00466926" w:rsidP="002B32D7">
    <w:pPr>
      <w:pStyle w:val="Footer"/>
    </w:pPr>
    <w:r>
      <w:rPr>
        <w:noProof/>
        <w:lang w:eastAsia="en-GB"/>
      </w:rPr>
      <w:drawing>
        <wp:anchor distT="0" distB="0" distL="114300" distR="114300" simplePos="0" relativeHeight="251659264" behindDoc="1" locked="0" layoutInCell="1" allowOverlap="1" wp14:anchorId="7C4898B9" wp14:editId="0817F755">
          <wp:simplePos x="0" y="0"/>
          <wp:positionH relativeFrom="page">
            <wp:posOffset>4928235</wp:posOffset>
          </wp:positionH>
          <wp:positionV relativeFrom="page">
            <wp:posOffset>9063640</wp:posOffset>
          </wp:positionV>
          <wp:extent cx="2633839" cy="1636889"/>
          <wp:effectExtent l="0" t="0" r="0" b="1905"/>
          <wp:wrapNone/>
          <wp:docPr id="16" name="Picture 1"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33839" cy="16368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F1BF0" w14:textId="77777777" w:rsidR="00B50027" w:rsidRDefault="00B50027" w:rsidP="002B32D7">
      <w:r>
        <w:separator/>
      </w:r>
    </w:p>
  </w:footnote>
  <w:footnote w:type="continuationSeparator" w:id="0">
    <w:p w14:paraId="7F512357" w14:textId="77777777" w:rsidR="00B50027" w:rsidRDefault="00B50027" w:rsidP="002B3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279891"/>
      <w:docPartObj>
        <w:docPartGallery w:val="Page Numbers (Top of Page)"/>
        <w:docPartUnique/>
      </w:docPartObj>
    </w:sdtPr>
    <w:sdtEndPr/>
    <w:sdtContent>
      <w:p w14:paraId="29B68534" w14:textId="77777777" w:rsidR="002E0BDD" w:rsidRDefault="00DA74AE" w:rsidP="002B32D7">
        <w:pPr>
          <w:pStyle w:val="Header"/>
          <w:jc w:val="right"/>
        </w:pPr>
        <w:r>
          <w:fldChar w:fldCharType="begin"/>
        </w:r>
        <w:r>
          <w:instrText xml:space="preserve"> PAGE   \* MERGEFORMAT </w:instrText>
        </w:r>
        <w:r>
          <w:fldChar w:fldCharType="separate"/>
        </w:r>
        <w:r w:rsidR="002D0720">
          <w:rPr>
            <w:noProof/>
          </w:rPr>
          <w:t>2</w:t>
        </w:r>
        <w:r>
          <w:rPr>
            <w:noProof/>
          </w:rPr>
          <w:fldChar w:fldCharType="end"/>
        </w:r>
        <w:r w:rsidR="002E0BDD">
          <w:rPr>
            <w:noProof/>
            <w:lang w:eastAsia="en-GB"/>
          </w:rPr>
          <w:drawing>
            <wp:anchor distT="0" distB="0" distL="114300" distR="114300" simplePos="0" relativeHeight="251663360" behindDoc="1" locked="0" layoutInCell="1" allowOverlap="1" wp14:anchorId="2CCBB243" wp14:editId="1D82754E">
              <wp:simplePos x="0" y="0"/>
              <wp:positionH relativeFrom="page">
                <wp:align>left</wp:align>
              </wp:positionH>
              <wp:positionV relativeFrom="page">
                <wp:align>top</wp:align>
              </wp:positionV>
              <wp:extent cx="2688981" cy="1207477"/>
              <wp:effectExtent l="19050" t="0" r="0" b="0"/>
              <wp:wrapNone/>
              <wp:docPr id="13" name="Picture 13" descr="itea3_templ_base_word-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2.jpg"/>
                      <pic:cNvPicPr/>
                    </pic:nvPicPr>
                    <pic:blipFill>
                      <a:blip r:embed="rId1"/>
                      <a:stretch>
                        <a:fillRect/>
                      </a:stretch>
                    </pic:blipFill>
                    <pic:spPr>
                      <a:xfrm>
                        <a:off x="0" y="0"/>
                        <a:ext cx="2688981" cy="1207477"/>
                      </a:xfrm>
                      <a:prstGeom prst="rect">
                        <a:avLst/>
                      </a:prstGeom>
                    </pic:spPr>
                  </pic:pic>
                </a:graphicData>
              </a:graphic>
            </wp:anchor>
          </w:drawing>
        </w:r>
      </w:p>
    </w:sdtContent>
  </w:sdt>
  <w:p w14:paraId="5A20E1B9" w14:textId="77777777" w:rsidR="002E0BDD" w:rsidRPr="002F0398" w:rsidRDefault="002E0BDD" w:rsidP="002B32D7">
    <w:pPr>
      <w:pStyle w:val="Header"/>
      <w:jc w:val="right"/>
      <w:rPr>
        <w:sz w:val="12"/>
      </w:rPr>
    </w:pPr>
  </w:p>
  <w:p w14:paraId="3A805B23" w14:textId="0DD2D5D5" w:rsidR="00466926" w:rsidRPr="00ED1AF8" w:rsidRDefault="009115F2" w:rsidP="00ED1AF8">
    <w:pPr>
      <w:pStyle w:val="Header"/>
      <w:spacing w:line="276" w:lineRule="auto"/>
      <w:jc w:val="right"/>
    </w:pPr>
    <w:r>
      <w:rPr>
        <w:color w:val="00A651" w:themeColor="accent1"/>
        <w:sz w:val="18"/>
        <w:szCs w:val="18"/>
      </w:rPr>
      <w:t>Press release</w:t>
    </w:r>
    <w:r w:rsidR="004F61D1">
      <w:rPr>
        <w:color w:val="00A651" w:themeColor="accent1"/>
        <w:sz w:val="18"/>
        <w:szCs w:val="18"/>
      </w:rPr>
      <w:br/>
    </w:r>
    <w:r w:rsidR="00197941">
      <w:rPr>
        <w:sz w:val="18"/>
      </w:rPr>
      <w:t>ITEA’s latest R&amp;D innovations for cities at SCEWC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FB06D" w14:textId="77777777" w:rsidR="00466926" w:rsidRDefault="00466926" w:rsidP="002B32D7">
    <w:pPr>
      <w:pStyle w:val="Header"/>
    </w:pPr>
    <w:r>
      <w:rPr>
        <w:noProof/>
        <w:lang w:eastAsia="en-GB"/>
      </w:rPr>
      <w:drawing>
        <wp:anchor distT="0" distB="0" distL="114300" distR="114300" simplePos="0" relativeHeight="251658240" behindDoc="1" locked="0" layoutInCell="1" allowOverlap="1" wp14:anchorId="79BFEF2D" wp14:editId="534795BF">
          <wp:simplePos x="0" y="0"/>
          <wp:positionH relativeFrom="page">
            <wp:posOffset>32675</wp:posOffset>
          </wp:positionH>
          <wp:positionV relativeFrom="page">
            <wp:align>top</wp:align>
          </wp:positionV>
          <wp:extent cx="7561977" cy="1207477"/>
          <wp:effectExtent l="19050" t="0" r="873" b="0"/>
          <wp:wrapNone/>
          <wp:docPr id="15" name="Picture 0" descr="itea3_templ_base_word-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jpg"/>
                  <pic:cNvPicPr/>
                </pic:nvPicPr>
                <pic:blipFill>
                  <a:blip r:embed="rId1"/>
                  <a:stretch>
                    <a:fillRect/>
                  </a:stretch>
                </pic:blipFill>
                <pic:spPr>
                  <a:xfrm>
                    <a:off x="0" y="0"/>
                    <a:ext cx="7561977" cy="12074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4B4F"/>
    <w:multiLevelType w:val="hybridMultilevel"/>
    <w:tmpl w:val="F41C67F8"/>
    <w:lvl w:ilvl="0" w:tplc="2D765136">
      <w:start w:val="1"/>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3211A9"/>
    <w:multiLevelType w:val="hybridMultilevel"/>
    <w:tmpl w:val="E362D072"/>
    <w:lvl w:ilvl="0" w:tplc="3348D55C">
      <w:start w:val="1"/>
      <w:numFmt w:val="bullet"/>
      <w:pStyle w:val="Bulletsintables"/>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67F38"/>
    <w:multiLevelType w:val="hybridMultilevel"/>
    <w:tmpl w:val="4888EC4C"/>
    <w:lvl w:ilvl="0" w:tplc="E4E25286">
      <w:start w:val="1"/>
      <w:numFmt w:val="decimal"/>
      <w:pStyle w:val="ActionStyle"/>
      <w:lvlText w:val="Action %1."/>
      <w:lvlJc w:val="righ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 w15:restartNumberingAfterBreak="0">
    <w:nsid w:val="0E434E4D"/>
    <w:multiLevelType w:val="hybridMultilevel"/>
    <w:tmpl w:val="60AC366A"/>
    <w:lvl w:ilvl="0" w:tplc="0DEEBEAC">
      <w:start w:val="1"/>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3302CC"/>
    <w:multiLevelType w:val="hybridMultilevel"/>
    <w:tmpl w:val="F54878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895406F"/>
    <w:multiLevelType w:val="hybridMultilevel"/>
    <w:tmpl w:val="40FA24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B20751"/>
    <w:multiLevelType w:val="hybridMultilevel"/>
    <w:tmpl w:val="D85CE18A"/>
    <w:lvl w:ilvl="0" w:tplc="04130005">
      <w:start w:val="1"/>
      <w:numFmt w:val="bullet"/>
      <w:lvlText w:val=""/>
      <w:lvlJc w:val="left"/>
      <w:pPr>
        <w:ind w:left="705" w:hanging="705"/>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28B5774"/>
    <w:multiLevelType w:val="hybridMultilevel"/>
    <w:tmpl w:val="D65AD7D8"/>
    <w:lvl w:ilvl="0" w:tplc="F264A146">
      <w:start w:val="1"/>
      <w:numFmt w:val="decimal"/>
      <w:pStyle w:val="Numberingintables"/>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9A5ECB"/>
    <w:multiLevelType w:val="hybridMultilevel"/>
    <w:tmpl w:val="B31CDBEE"/>
    <w:lvl w:ilvl="0" w:tplc="B6E606B0">
      <w:start w:val="1"/>
      <w:numFmt w:val="decimal"/>
      <w:lvlText w:val="Action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C0628BC"/>
    <w:multiLevelType w:val="hybridMultilevel"/>
    <w:tmpl w:val="D4DECA4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CA4396"/>
    <w:multiLevelType w:val="hybridMultilevel"/>
    <w:tmpl w:val="38FA1EB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E118B9"/>
    <w:multiLevelType w:val="hybridMultilevel"/>
    <w:tmpl w:val="49F0D32C"/>
    <w:lvl w:ilvl="0" w:tplc="F0022624">
      <w:start w:val="1"/>
      <w:numFmt w:val="decimal"/>
      <w:lvlText w:val="Action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AF0215E"/>
    <w:multiLevelType w:val="hybridMultilevel"/>
    <w:tmpl w:val="8D0C86BC"/>
    <w:lvl w:ilvl="0" w:tplc="69BA64E2">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09A70B6"/>
    <w:multiLevelType w:val="hybridMultilevel"/>
    <w:tmpl w:val="9FCCD20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7215B3A"/>
    <w:multiLevelType w:val="multilevel"/>
    <w:tmpl w:val="504A9BA2"/>
    <w:lvl w:ilvl="0">
      <w:start w:val="1"/>
      <w:numFmt w:val="decimal"/>
      <w:pStyle w:val="Heading2withnumbering"/>
      <w:lvlText w:val="%1."/>
      <w:lvlJc w:val="left"/>
      <w:pPr>
        <w:ind w:left="705" w:hanging="705"/>
      </w:pPr>
      <w:rPr>
        <w:rFonts w:hint="default"/>
      </w:rPr>
    </w:lvl>
    <w:lvl w:ilvl="1">
      <w:start w:val="1"/>
      <w:numFmt w:val="decimal"/>
      <w:pStyle w:val="Heading3withnumbering"/>
      <w:isLgl/>
      <w:lvlText w:val="%1.%2."/>
      <w:lvlJc w:val="left"/>
      <w:pPr>
        <w:ind w:left="720" w:hanging="720"/>
      </w:pPr>
      <w:rPr>
        <w:rFonts w:hint="default"/>
      </w:rPr>
    </w:lvl>
    <w:lvl w:ilvl="2">
      <w:start w:val="1"/>
      <w:numFmt w:val="decimal"/>
      <w:pStyle w:val="Heading4withnumbering"/>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599A2F7E"/>
    <w:multiLevelType w:val="hybridMultilevel"/>
    <w:tmpl w:val="42841E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AD563C4"/>
    <w:multiLevelType w:val="hybridMultilevel"/>
    <w:tmpl w:val="638C760E"/>
    <w:lvl w:ilvl="0" w:tplc="537AFDB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D03BED"/>
    <w:multiLevelType w:val="hybridMultilevel"/>
    <w:tmpl w:val="69F20382"/>
    <w:lvl w:ilvl="0" w:tplc="0DEEBEAC">
      <w:start w:val="1"/>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8363C17"/>
    <w:multiLevelType w:val="hybridMultilevel"/>
    <w:tmpl w:val="A61C222A"/>
    <w:lvl w:ilvl="0" w:tplc="1B2CE494">
      <w:start w:val="1"/>
      <w:numFmt w:val="bullet"/>
      <w:pStyle w:val="Bullets"/>
      <w:lvlText w:val=""/>
      <w:lvlJc w:val="left"/>
      <w:pPr>
        <w:ind w:left="720" w:hanging="360"/>
      </w:pPr>
      <w:rPr>
        <w:rFonts w:ascii="Wingdings" w:hAnsi="Wingdings" w:hint="default"/>
      </w:rPr>
    </w:lvl>
    <w:lvl w:ilvl="1" w:tplc="BD9491A4">
      <w:numFmt w:val="bullet"/>
      <w:pStyle w:val="Subbullets"/>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8D92B69"/>
    <w:multiLevelType w:val="hybridMultilevel"/>
    <w:tmpl w:val="3A9828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40E1233"/>
    <w:multiLevelType w:val="hybridMultilevel"/>
    <w:tmpl w:val="AFC8238E"/>
    <w:lvl w:ilvl="0" w:tplc="69BA64E2">
      <w:start w:val="1"/>
      <w:numFmt w:val="decimal"/>
      <w:lvlText w:val="%1."/>
      <w:lvlJc w:val="left"/>
      <w:pPr>
        <w:ind w:left="1065" w:hanging="705"/>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68A6028"/>
    <w:multiLevelType w:val="hybridMultilevel"/>
    <w:tmpl w:val="628E74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E9C0DCB"/>
    <w:multiLevelType w:val="hybridMultilevel"/>
    <w:tmpl w:val="C89A605C"/>
    <w:lvl w:ilvl="0" w:tplc="537AFDB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9"/>
  </w:num>
  <w:num w:numId="4">
    <w:abstractNumId w:val="9"/>
  </w:num>
  <w:num w:numId="5">
    <w:abstractNumId w:val="7"/>
  </w:num>
  <w:num w:numId="6">
    <w:abstractNumId w:val="16"/>
  </w:num>
  <w:num w:numId="7">
    <w:abstractNumId w:val="22"/>
  </w:num>
  <w:num w:numId="8">
    <w:abstractNumId w:val="1"/>
  </w:num>
  <w:num w:numId="9">
    <w:abstractNumId w:val="18"/>
  </w:num>
  <w:num w:numId="10">
    <w:abstractNumId w:val="4"/>
  </w:num>
  <w:num w:numId="11">
    <w:abstractNumId w:val="12"/>
  </w:num>
  <w:num w:numId="12">
    <w:abstractNumId w:val="10"/>
  </w:num>
  <w:num w:numId="13">
    <w:abstractNumId w:val="17"/>
  </w:num>
  <w:num w:numId="14">
    <w:abstractNumId w:val="3"/>
  </w:num>
  <w:num w:numId="15">
    <w:abstractNumId w:val="0"/>
  </w:num>
  <w:num w:numId="16">
    <w:abstractNumId w:val="20"/>
  </w:num>
  <w:num w:numId="17">
    <w:abstractNumId w:val="6"/>
  </w:num>
  <w:num w:numId="18">
    <w:abstractNumId w:val="14"/>
  </w:num>
  <w:num w:numId="19">
    <w:abstractNumId w:val="11"/>
  </w:num>
  <w:num w:numId="20">
    <w:abstractNumId w:val="21"/>
  </w:num>
  <w:num w:numId="21">
    <w:abstractNumId w:val="8"/>
  </w:num>
  <w:num w:numId="22">
    <w:abstractNumId w:val="1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C90"/>
    <w:rsid w:val="0004781C"/>
    <w:rsid w:val="000F0DD2"/>
    <w:rsid w:val="000F654D"/>
    <w:rsid w:val="00102A5A"/>
    <w:rsid w:val="00110433"/>
    <w:rsid w:val="0017124A"/>
    <w:rsid w:val="001750C4"/>
    <w:rsid w:val="001933C6"/>
    <w:rsid w:val="00197941"/>
    <w:rsid w:val="001C16CF"/>
    <w:rsid w:val="001D7157"/>
    <w:rsid w:val="00204F63"/>
    <w:rsid w:val="00250ECB"/>
    <w:rsid w:val="00282B8D"/>
    <w:rsid w:val="002B32D7"/>
    <w:rsid w:val="002D0720"/>
    <w:rsid w:val="002D47C3"/>
    <w:rsid w:val="002E0BDD"/>
    <w:rsid w:val="002F0398"/>
    <w:rsid w:val="0031319D"/>
    <w:rsid w:val="003165E4"/>
    <w:rsid w:val="00403E12"/>
    <w:rsid w:val="00454A58"/>
    <w:rsid w:val="00466926"/>
    <w:rsid w:val="0046774E"/>
    <w:rsid w:val="00486B00"/>
    <w:rsid w:val="004F61D1"/>
    <w:rsid w:val="004F624B"/>
    <w:rsid w:val="005019F3"/>
    <w:rsid w:val="00504C90"/>
    <w:rsid w:val="00520C96"/>
    <w:rsid w:val="0053374C"/>
    <w:rsid w:val="00552689"/>
    <w:rsid w:val="0059379D"/>
    <w:rsid w:val="006174EF"/>
    <w:rsid w:val="00645330"/>
    <w:rsid w:val="00673DE4"/>
    <w:rsid w:val="0068253D"/>
    <w:rsid w:val="00697460"/>
    <w:rsid w:val="006B0B24"/>
    <w:rsid w:val="006C14F7"/>
    <w:rsid w:val="006D2556"/>
    <w:rsid w:val="006E6EFB"/>
    <w:rsid w:val="006F4474"/>
    <w:rsid w:val="00710CDB"/>
    <w:rsid w:val="0071262E"/>
    <w:rsid w:val="00777CB9"/>
    <w:rsid w:val="00782864"/>
    <w:rsid w:val="007A2C7A"/>
    <w:rsid w:val="007D2AC5"/>
    <w:rsid w:val="007F549D"/>
    <w:rsid w:val="008054A6"/>
    <w:rsid w:val="0086446F"/>
    <w:rsid w:val="00875EAB"/>
    <w:rsid w:val="008E5BCB"/>
    <w:rsid w:val="009115F2"/>
    <w:rsid w:val="00960187"/>
    <w:rsid w:val="00964805"/>
    <w:rsid w:val="00A01D28"/>
    <w:rsid w:val="00A15FA7"/>
    <w:rsid w:val="00A33D43"/>
    <w:rsid w:val="00A8297C"/>
    <w:rsid w:val="00AA3F8A"/>
    <w:rsid w:val="00AF6B55"/>
    <w:rsid w:val="00B41398"/>
    <w:rsid w:val="00B50027"/>
    <w:rsid w:val="00B87674"/>
    <w:rsid w:val="00BA5A8B"/>
    <w:rsid w:val="00BB594E"/>
    <w:rsid w:val="00BF3D9D"/>
    <w:rsid w:val="00BF7889"/>
    <w:rsid w:val="00C4021A"/>
    <w:rsid w:val="00C616E5"/>
    <w:rsid w:val="00CD50D0"/>
    <w:rsid w:val="00CF4E7B"/>
    <w:rsid w:val="00D5636E"/>
    <w:rsid w:val="00D70FDC"/>
    <w:rsid w:val="00D72B27"/>
    <w:rsid w:val="00D77FF5"/>
    <w:rsid w:val="00DA74AE"/>
    <w:rsid w:val="00DA7E32"/>
    <w:rsid w:val="00DF14D9"/>
    <w:rsid w:val="00E05380"/>
    <w:rsid w:val="00E314B5"/>
    <w:rsid w:val="00EA3D39"/>
    <w:rsid w:val="00EA53B9"/>
    <w:rsid w:val="00ED1AF8"/>
    <w:rsid w:val="00ED7F58"/>
    <w:rsid w:val="00EE3F2A"/>
    <w:rsid w:val="00F033F5"/>
    <w:rsid w:val="00F1028A"/>
    <w:rsid w:val="00F30293"/>
    <w:rsid w:val="00F627D0"/>
    <w:rsid w:val="00F80AD1"/>
    <w:rsid w:val="00FF4F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30A6C"/>
  <w15:docId w15:val="{736F9DB5-34E7-4086-927A-E1EB7C17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7460"/>
    <w:pPr>
      <w:spacing w:before="120" w:after="120" w:line="288" w:lineRule="auto"/>
    </w:pPr>
    <w:rPr>
      <w:rFonts w:ascii="Arial" w:eastAsia="Times New Roman" w:hAnsi="Arial" w:cs="Times New Roman"/>
      <w:spacing w:val="4"/>
      <w:sz w:val="20"/>
      <w:szCs w:val="24"/>
      <w:lang w:val="en-GB" w:eastAsia="nl-NL"/>
    </w:rPr>
  </w:style>
  <w:style w:type="paragraph" w:styleId="Heading1">
    <w:name w:val="heading 1"/>
    <w:basedOn w:val="Normal"/>
    <w:next w:val="Normal"/>
    <w:link w:val="Heading1Char"/>
    <w:uiPriority w:val="9"/>
    <w:qFormat/>
    <w:rsid w:val="00F80AD1"/>
    <w:pPr>
      <w:keepNext/>
      <w:keepLines/>
      <w:spacing w:before="480" w:after="0"/>
      <w:outlineLvl w:val="0"/>
    </w:pPr>
    <w:rPr>
      <w:rFonts w:eastAsiaTheme="majorEastAsia" w:cs="Arial"/>
      <w:b/>
      <w:bCs/>
      <w:color w:val="00A651" w:themeColor="accent1"/>
      <w:sz w:val="48"/>
      <w:szCs w:val="48"/>
    </w:rPr>
  </w:style>
  <w:style w:type="paragraph" w:styleId="Heading2">
    <w:name w:val="heading 2"/>
    <w:basedOn w:val="NoSpacing"/>
    <w:next w:val="Normal"/>
    <w:link w:val="Heading2Char"/>
    <w:uiPriority w:val="9"/>
    <w:unhideWhenUsed/>
    <w:qFormat/>
    <w:rsid w:val="00D77FF5"/>
    <w:pPr>
      <w:keepNext/>
      <w:keepLines/>
      <w:spacing w:before="240" w:after="120"/>
      <w:outlineLvl w:val="1"/>
    </w:pPr>
    <w:rPr>
      <w:b/>
      <w:color w:val="00A651" w:themeColor="accent1"/>
      <w:sz w:val="28"/>
      <w:szCs w:val="28"/>
    </w:rPr>
  </w:style>
  <w:style w:type="paragraph" w:styleId="Heading3">
    <w:name w:val="heading 3"/>
    <w:basedOn w:val="Normal"/>
    <w:next w:val="Normal"/>
    <w:link w:val="Heading3Char"/>
    <w:uiPriority w:val="9"/>
    <w:unhideWhenUsed/>
    <w:qFormat/>
    <w:rsid w:val="00552689"/>
    <w:pPr>
      <w:keepNext/>
      <w:keepLines/>
      <w:spacing w:before="300"/>
      <w:outlineLvl w:val="2"/>
    </w:pPr>
    <w:rPr>
      <w:rFonts w:eastAsiaTheme="majorEastAsia" w:cs="Arial"/>
      <w:b/>
      <w:bCs/>
      <w:color w:val="7F7F7F" w:themeColor="text1" w:themeTint="80"/>
      <w:sz w:val="24"/>
    </w:rPr>
  </w:style>
  <w:style w:type="paragraph" w:styleId="Heading4">
    <w:name w:val="heading 4"/>
    <w:basedOn w:val="Normal"/>
    <w:next w:val="Normal"/>
    <w:link w:val="Heading4Char"/>
    <w:uiPriority w:val="9"/>
    <w:unhideWhenUsed/>
    <w:qFormat/>
    <w:rsid w:val="0086446F"/>
    <w:pPr>
      <w:keepNext/>
      <w:keepLines/>
      <w:spacing w:before="240" w:after="0"/>
      <w:outlineLvl w:val="3"/>
    </w:pPr>
    <w:rPr>
      <w:b/>
      <w:color w:val="000000" w:themeColor="text1"/>
    </w:rPr>
  </w:style>
  <w:style w:type="paragraph" w:styleId="Heading5">
    <w:name w:val="heading 5"/>
    <w:basedOn w:val="Normal"/>
    <w:next w:val="Normal"/>
    <w:link w:val="Heading5Char"/>
    <w:uiPriority w:val="9"/>
    <w:semiHidden/>
    <w:unhideWhenUsed/>
    <w:rsid w:val="006B0B24"/>
    <w:pPr>
      <w:keepNext/>
      <w:keepLines/>
      <w:spacing w:before="200" w:after="0"/>
      <w:outlineLvl w:val="4"/>
    </w:pPr>
    <w:rPr>
      <w:rFonts w:asciiTheme="majorHAnsi" w:eastAsiaTheme="majorEastAsia" w:hAnsiTheme="majorHAnsi" w:cstheme="majorBidi"/>
      <w:color w:val="00522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926"/>
    <w:pPr>
      <w:tabs>
        <w:tab w:val="center" w:pos="4536"/>
        <w:tab w:val="right" w:pos="9072"/>
      </w:tabs>
      <w:spacing w:line="240" w:lineRule="auto"/>
    </w:pPr>
  </w:style>
  <w:style w:type="character" w:customStyle="1" w:styleId="HeaderChar">
    <w:name w:val="Header Char"/>
    <w:basedOn w:val="DefaultParagraphFont"/>
    <w:link w:val="Header"/>
    <w:uiPriority w:val="99"/>
    <w:rsid w:val="00466926"/>
  </w:style>
  <w:style w:type="paragraph" w:styleId="Footer">
    <w:name w:val="footer"/>
    <w:basedOn w:val="Normal"/>
    <w:link w:val="FooterChar"/>
    <w:uiPriority w:val="99"/>
    <w:unhideWhenUsed/>
    <w:rsid w:val="00466926"/>
    <w:pPr>
      <w:tabs>
        <w:tab w:val="center" w:pos="4536"/>
        <w:tab w:val="right" w:pos="9072"/>
      </w:tabs>
      <w:spacing w:line="240" w:lineRule="auto"/>
    </w:pPr>
  </w:style>
  <w:style w:type="character" w:customStyle="1" w:styleId="FooterChar">
    <w:name w:val="Footer Char"/>
    <w:basedOn w:val="DefaultParagraphFont"/>
    <w:link w:val="Footer"/>
    <w:uiPriority w:val="99"/>
    <w:rsid w:val="00466926"/>
  </w:style>
  <w:style w:type="paragraph" w:styleId="BalloonText">
    <w:name w:val="Balloon Text"/>
    <w:basedOn w:val="Normal"/>
    <w:link w:val="BalloonTextChar"/>
    <w:uiPriority w:val="99"/>
    <w:semiHidden/>
    <w:unhideWhenUsed/>
    <w:rsid w:val="004669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926"/>
    <w:rPr>
      <w:rFonts w:ascii="Tahoma" w:hAnsi="Tahoma" w:cs="Tahoma"/>
      <w:sz w:val="16"/>
      <w:szCs w:val="16"/>
    </w:rPr>
  </w:style>
  <w:style w:type="paragraph" w:styleId="NoSpacing">
    <w:name w:val="No Spacing"/>
    <w:uiPriority w:val="1"/>
    <w:rsid w:val="006B0B24"/>
    <w:pPr>
      <w:spacing w:after="0"/>
    </w:pPr>
    <w:rPr>
      <w:rFonts w:ascii="Arial" w:hAnsi="Arial"/>
      <w:color w:val="000000" w:themeColor="text1"/>
      <w:sz w:val="20"/>
    </w:rPr>
  </w:style>
  <w:style w:type="character" w:customStyle="1" w:styleId="Heading1Char">
    <w:name w:val="Heading 1 Char"/>
    <w:basedOn w:val="DefaultParagraphFont"/>
    <w:link w:val="Heading1"/>
    <w:uiPriority w:val="9"/>
    <w:rsid w:val="00F80AD1"/>
    <w:rPr>
      <w:rFonts w:ascii="Arial" w:eastAsiaTheme="majorEastAsia" w:hAnsi="Arial" w:cs="Arial"/>
      <w:b/>
      <w:bCs/>
      <w:color w:val="00A651" w:themeColor="accent1"/>
      <w:spacing w:val="4"/>
      <w:sz w:val="48"/>
      <w:szCs w:val="48"/>
      <w:lang w:val="en-GB" w:eastAsia="nl-NL"/>
    </w:rPr>
  </w:style>
  <w:style w:type="paragraph" w:styleId="Subtitle">
    <w:name w:val="Subtitle"/>
    <w:next w:val="Normal"/>
    <w:link w:val="SubtitleChar"/>
    <w:uiPriority w:val="11"/>
    <w:qFormat/>
    <w:rsid w:val="00F033F5"/>
    <w:pPr>
      <w:spacing w:after="60"/>
    </w:pPr>
    <w:rPr>
      <w:rFonts w:ascii="Arial" w:eastAsiaTheme="majorEastAsia" w:hAnsi="Arial" w:cs="Arial"/>
      <w:bCs/>
      <w:color w:val="7F7F7F" w:themeColor="text1" w:themeTint="80"/>
      <w:spacing w:val="4"/>
      <w:sz w:val="32"/>
      <w:szCs w:val="24"/>
      <w:lang w:val="en-GB" w:eastAsia="nl-NL"/>
    </w:rPr>
  </w:style>
  <w:style w:type="character" w:customStyle="1" w:styleId="SubtitleChar">
    <w:name w:val="Subtitle Char"/>
    <w:basedOn w:val="DefaultParagraphFont"/>
    <w:link w:val="Subtitle"/>
    <w:uiPriority w:val="11"/>
    <w:rsid w:val="00F033F5"/>
    <w:rPr>
      <w:rFonts w:ascii="Arial" w:eastAsiaTheme="majorEastAsia" w:hAnsi="Arial" w:cs="Arial"/>
      <w:bCs/>
      <w:color w:val="7F7F7F" w:themeColor="text1" w:themeTint="80"/>
      <w:spacing w:val="4"/>
      <w:sz w:val="32"/>
      <w:szCs w:val="24"/>
      <w:lang w:val="en-GB" w:eastAsia="nl-NL"/>
    </w:rPr>
  </w:style>
  <w:style w:type="character" w:customStyle="1" w:styleId="Heading2Char">
    <w:name w:val="Heading 2 Char"/>
    <w:basedOn w:val="DefaultParagraphFont"/>
    <w:link w:val="Heading2"/>
    <w:uiPriority w:val="9"/>
    <w:rsid w:val="00D77FF5"/>
    <w:rPr>
      <w:rFonts w:ascii="Arial" w:hAnsi="Arial"/>
      <w:b/>
      <w:color w:val="00A651" w:themeColor="accent1"/>
      <w:sz w:val="28"/>
      <w:szCs w:val="28"/>
    </w:rPr>
  </w:style>
  <w:style w:type="character" w:customStyle="1" w:styleId="Heading3Char">
    <w:name w:val="Heading 3 Char"/>
    <w:basedOn w:val="DefaultParagraphFont"/>
    <w:link w:val="Heading3"/>
    <w:uiPriority w:val="9"/>
    <w:rsid w:val="00552689"/>
    <w:rPr>
      <w:rFonts w:ascii="Arial" w:eastAsiaTheme="majorEastAsia" w:hAnsi="Arial" w:cs="Arial"/>
      <w:b/>
      <w:bCs/>
      <w:color w:val="7F7F7F" w:themeColor="text1" w:themeTint="80"/>
      <w:spacing w:val="4"/>
      <w:sz w:val="24"/>
      <w:szCs w:val="24"/>
      <w:lang w:val="en-GB" w:eastAsia="nl-NL"/>
    </w:rPr>
  </w:style>
  <w:style w:type="character" w:customStyle="1" w:styleId="Heading4Char">
    <w:name w:val="Heading 4 Char"/>
    <w:basedOn w:val="DefaultParagraphFont"/>
    <w:link w:val="Heading4"/>
    <w:uiPriority w:val="9"/>
    <w:rsid w:val="0086446F"/>
    <w:rPr>
      <w:rFonts w:ascii="Arial" w:eastAsia="Times New Roman" w:hAnsi="Arial" w:cs="Times New Roman"/>
      <w:b/>
      <w:color w:val="000000" w:themeColor="text1"/>
      <w:spacing w:val="4"/>
      <w:sz w:val="20"/>
      <w:szCs w:val="24"/>
      <w:lang w:val="en-GB" w:eastAsia="nl-NL"/>
    </w:rPr>
  </w:style>
  <w:style w:type="paragraph" w:styleId="BodyText">
    <w:name w:val="Body Text"/>
    <w:link w:val="BodyTextChar"/>
    <w:qFormat/>
    <w:rsid w:val="00ED1AF8"/>
    <w:pPr>
      <w:spacing w:after="0" w:line="288" w:lineRule="auto"/>
    </w:pPr>
    <w:rPr>
      <w:rFonts w:ascii="Arial" w:eastAsia="Times New Roman" w:hAnsi="Arial" w:cs="Times New Roman"/>
      <w:color w:val="000000" w:themeColor="text1"/>
      <w:spacing w:val="4"/>
      <w:sz w:val="20"/>
      <w:szCs w:val="24"/>
      <w:lang w:val="en-GB" w:eastAsia="nl-NL"/>
    </w:rPr>
  </w:style>
  <w:style w:type="character" w:customStyle="1" w:styleId="BodyTextChar">
    <w:name w:val="Body Text Char"/>
    <w:basedOn w:val="DefaultParagraphFont"/>
    <w:link w:val="BodyText"/>
    <w:rsid w:val="00ED1AF8"/>
    <w:rPr>
      <w:rFonts w:ascii="Arial" w:eastAsia="Times New Roman" w:hAnsi="Arial" w:cs="Times New Roman"/>
      <w:color w:val="000000" w:themeColor="text1"/>
      <w:spacing w:val="4"/>
      <w:sz w:val="20"/>
      <w:szCs w:val="24"/>
      <w:lang w:val="en-GB" w:eastAsia="nl-NL"/>
    </w:rPr>
  </w:style>
  <w:style w:type="table" w:styleId="TableGrid">
    <w:name w:val="Table Grid"/>
    <w:basedOn w:val="TableNormal"/>
    <w:rsid w:val="00EE3F2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EE3F2A"/>
    <w:pPr>
      <w:ind w:left="720"/>
      <w:contextualSpacing/>
    </w:pPr>
  </w:style>
  <w:style w:type="paragraph" w:customStyle="1" w:styleId="Subbullets">
    <w:name w:val="Subbullets"/>
    <w:basedOn w:val="Bullets"/>
    <w:qFormat/>
    <w:rsid w:val="004F624B"/>
    <w:pPr>
      <w:numPr>
        <w:ilvl w:val="1"/>
      </w:numPr>
      <w:spacing w:before="0" w:after="0"/>
      <w:ind w:left="1134" w:hanging="425"/>
    </w:pPr>
  </w:style>
  <w:style w:type="paragraph" w:customStyle="1" w:styleId="Bullets">
    <w:name w:val="Bullets"/>
    <w:basedOn w:val="ListParagraph"/>
    <w:qFormat/>
    <w:rsid w:val="004F624B"/>
    <w:pPr>
      <w:numPr>
        <w:numId w:val="9"/>
      </w:numPr>
      <w:tabs>
        <w:tab w:val="left" w:pos="2268"/>
      </w:tabs>
      <w:ind w:left="714" w:hanging="357"/>
    </w:pPr>
    <w:rPr>
      <w:color w:val="000000" w:themeColor="text1"/>
      <w:szCs w:val="20"/>
    </w:rPr>
  </w:style>
  <w:style w:type="paragraph" w:customStyle="1" w:styleId="ActionStyle">
    <w:name w:val="ActionStyle"/>
    <w:basedOn w:val="Heading4"/>
    <w:rsid w:val="006B0B24"/>
    <w:pPr>
      <w:numPr>
        <w:numId w:val="23"/>
      </w:numPr>
    </w:pPr>
  </w:style>
  <w:style w:type="paragraph" w:customStyle="1" w:styleId="Numberingintables">
    <w:name w:val="Numbering in tables"/>
    <w:basedOn w:val="Normal"/>
    <w:rsid w:val="00F033F5"/>
    <w:pPr>
      <w:numPr>
        <w:numId w:val="5"/>
      </w:numPr>
      <w:tabs>
        <w:tab w:val="left" w:pos="2268"/>
      </w:tabs>
      <w:spacing w:before="60" w:after="60" w:line="240" w:lineRule="auto"/>
      <w:ind w:left="357" w:hanging="357"/>
      <w:contextualSpacing/>
    </w:pPr>
    <w:rPr>
      <w:color w:val="000000" w:themeColor="text1"/>
    </w:rPr>
  </w:style>
  <w:style w:type="paragraph" w:customStyle="1" w:styleId="Bulletsintables">
    <w:name w:val="Bullets in tables"/>
    <w:basedOn w:val="Normal"/>
    <w:qFormat/>
    <w:rsid w:val="00F033F5"/>
    <w:pPr>
      <w:numPr>
        <w:numId w:val="8"/>
      </w:numPr>
      <w:tabs>
        <w:tab w:val="left" w:pos="2268"/>
      </w:tabs>
      <w:spacing w:before="0" w:after="0"/>
      <w:ind w:left="714" w:hanging="357"/>
      <w:contextualSpacing/>
    </w:pPr>
    <w:rPr>
      <w:color w:val="000000" w:themeColor="text1"/>
    </w:rPr>
  </w:style>
  <w:style w:type="paragraph" w:customStyle="1" w:styleId="Heading2withnumbering">
    <w:name w:val="Heading 2 with numbering"/>
    <w:basedOn w:val="Heading2"/>
    <w:qFormat/>
    <w:rsid w:val="00282B8D"/>
    <w:pPr>
      <w:numPr>
        <w:numId w:val="18"/>
      </w:numPr>
      <w:ind w:left="425" w:hanging="425"/>
    </w:pPr>
    <w:rPr>
      <w:lang w:val="en-GB"/>
    </w:rPr>
  </w:style>
  <w:style w:type="paragraph" w:customStyle="1" w:styleId="Tableheader">
    <w:name w:val="Table header"/>
    <w:basedOn w:val="Normal"/>
    <w:rsid w:val="00E314B5"/>
    <w:pPr>
      <w:tabs>
        <w:tab w:val="left" w:pos="2268"/>
      </w:tabs>
      <w:spacing w:before="60" w:after="60"/>
    </w:pPr>
    <w:rPr>
      <w:b/>
      <w:color w:val="000000" w:themeColor="text1"/>
    </w:rPr>
  </w:style>
  <w:style w:type="paragraph" w:customStyle="1" w:styleId="Tablecontent">
    <w:name w:val="Table content"/>
    <w:basedOn w:val="Normal"/>
    <w:rsid w:val="00F033F5"/>
    <w:pPr>
      <w:tabs>
        <w:tab w:val="left" w:pos="2268"/>
      </w:tabs>
      <w:spacing w:before="60" w:after="60" w:line="240" w:lineRule="auto"/>
      <w:contextualSpacing/>
    </w:pPr>
    <w:rPr>
      <w:color w:val="000000" w:themeColor="text1"/>
    </w:rPr>
  </w:style>
  <w:style w:type="character" w:customStyle="1" w:styleId="Heading5Char">
    <w:name w:val="Heading 5 Char"/>
    <w:basedOn w:val="DefaultParagraphFont"/>
    <w:link w:val="Heading5"/>
    <w:uiPriority w:val="9"/>
    <w:semiHidden/>
    <w:rsid w:val="006B0B24"/>
    <w:rPr>
      <w:rFonts w:asciiTheme="majorHAnsi" w:eastAsiaTheme="majorEastAsia" w:hAnsiTheme="majorHAnsi" w:cstheme="majorBidi"/>
      <w:color w:val="005228" w:themeColor="accent1" w:themeShade="7F"/>
      <w:spacing w:val="4"/>
      <w:sz w:val="20"/>
      <w:szCs w:val="24"/>
      <w:lang w:val="en-GB" w:eastAsia="nl-NL"/>
    </w:rPr>
  </w:style>
  <w:style w:type="paragraph" w:customStyle="1" w:styleId="Heading3withnumbering">
    <w:name w:val="Heading 3 with numbering"/>
    <w:basedOn w:val="Heading3"/>
    <w:qFormat/>
    <w:rsid w:val="0017124A"/>
    <w:pPr>
      <w:numPr>
        <w:ilvl w:val="1"/>
        <w:numId w:val="18"/>
      </w:numPr>
      <w:tabs>
        <w:tab w:val="left" w:pos="567"/>
      </w:tabs>
    </w:pPr>
  </w:style>
  <w:style w:type="paragraph" w:customStyle="1" w:styleId="Heading4withnumbering">
    <w:name w:val="Heading 4 with numbering"/>
    <w:basedOn w:val="Heading4"/>
    <w:qFormat/>
    <w:rsid w:val="0017124A"/>
    <w:pPr>
      <w:numPr>
        <w:ilvl w:val="2"/>
        <w:numId w:val="18"/>
      </w:numPr>
    </w:pPr>
  </w:style>
  <w:style w:type="table" w:styleId="MediumShading1-Accent2">
    <w:name w:val="Medium Shading 1 Accent 2"/>
    <w:aliases w:val="ITEA_Table"/>
    <w:basedOn w:val="TableNormal"/>
    <w:uiPriority w:val="63"/>
    <w:rsid w:val="00E314B5"/>
    <w:pPr>
      <w:spacing w:before="60" w:after="60" w:line="240" w:lineRule="auto"/>
      <w:ind w:left="57" w:right="57"/>
    </w:pPr>
    <w:rPr>
      <w:rFonts w:ascii="Arial" w:hAnsi="Arial"/>
      <w:sz w:val="20"/>
    </w:rPr>
    <w:tblPr>
      <w:tblStyleRowBandSize w:val="1"/>
      <w:jc w:val="center"/>
      <w:tblBorders>
        <w:top w:val="single" w:sz="4" w:space="0" w:color="808080" w:themeColor="background1" w:themeShade="80"/>
        <w:bottom w:val="single" w:sz="4" w:space="0" w:color="808080" w:themeColor="background1" w:themeShade="80"/>
      </w:tblBorders>
      <w:tblCellMar>
        <w:top w:w="85" w:type="dxa"/>
        <w:bottom w:w="85" w:type="dxa"/>
      </w:tblCellMar>
    </w:tblPr>
    <w:trPr>
      <w:jc w:val="center"/>
    </w:trPr>
    <w:tcPr>
      <w:shd w:val="clear" w:color="auto" w:fill="FFFFFF" w:themeFill="background1"/>
    </w:tcPr>
    <w:tblStylePr w:type="firstRow">
      <w:pPr>
        <w:wordWrap/>
        <w:spacing w:before="0" w:beforeAutospacing="0" w:after="0" w:afterAutospacing="0" w:line="240" w:lineRule="auto"/>
        <w:jc w:val="left"/>
      </w:pPr>
      <w:rPr>
        <w:rFonts w:ascii="Arial" w:hAnsi="Arial"/>
        <w:b w:val="0"/>
        <w:bCs/>
        <w:i w:val="0"/>
        <w:color w:val="auto"/>
        <w:sz w:val="22"/>
        <w:u w:val="none"/>
      </w:rPr>
      <w:tblPr>
        <w:tblCellMar>
          <w:top w:w="142" w:type="dxa"/>
          <w:left w:w="108" w:type="dxa"/>
          <w:bottom w:w="142" w:type="dxa"/>
          <w:right w:w="108" w:type="dxa"/>
        </w:tblCellMar>
      </w:tblPr>
      <w:trPr>
        <w:cantSplit/>
        <w:tblHeader/>
      </w:trPr>
      <w:tcPr>
        <w:tcBorders>
          <w:top w:val="single" w:sz="4" w:space="0" w:color="808080" w:themeColor="background1" w:themeShade="80"/>
          <w:left w:val="nil"/>
          <w:bottom w:val="single" w:sz="18" w:space="0" w:color="808080" w:themeColor="background1" w:themeShade="80"/>
          <w:right w:val="nil"/>
          <w:insideH w:val="nil"/>
          <w:insideV w:val="single" w:sz="4" w:space="0" w:color="808080" w:themeColor="background1" w:themeShade="80"/>
          <w:tl2br w:val="nil"/>
          <w:tr2bl w:val="nil"/>
        </w:tcBorders>
        <w:shd w:val="clear" w:color="auto" w:fill="A7D8B8"/>
      </w:tcPr>
    </w:tblStylePr>
    <w:tblStylePr w:type="lastRow">
      <w:pPr>
        <w:spacing w:before="0" w:after="0" w:line="240" w:lineRule="auto"/>
      </w:pPr>
      <w:rPr>
        <w:b/>
        <w:bCs/>
      </w:rPr>
      <w:tblPr>
        <w:tblCellMar>
          <w:top w:w="142" w:type="dxa"/>
          <w:left w:w="108" w:type="dxa"/>
          <w:bottom w:w="142" w:type="dxa"/>
          <w:right w:w="108" w:type="dxa"/>
        </w:tblCellMar>
      </w:tblPr>
      <w:tcPr>
        <w:tcBorders>
          <w:top w:val="single" w:sz="18" w:space="0" w:color="808080" w:themeColor="background1" w:themeShade="80"/>
          <w:left w:val="nil"/>
          <w:bottom w:val="single" w:sz="4" w:space="0" w:color="808080" w:themeColor="background1" w:themeShade="80"/>
          <w:right w:val="nil"/>
          <w:insideH w:val="nil"/>
          <w:insideV w:val="single" w:sz="4" w:space="0" w:color="808080" w:themeColor="background1" w:themeShade="80"/>
          <w:tl2br w:val="nil"/>
          <w:tr2bl w:val="nil"/>
        </w:tcBorders>
        <w:shd w:val="clear" w:color="auto" w:fill="A7D8B8"/>
      </w:tcPr>
    </w:tblStylePr>
    <w:tblStylePr w:type="firstCol">
      <w:pPr>
        <w:jc w:val="left"/>
      </w:pPr>
      <w:rPr>
        <w:rFonts w:ascii="Arial" w:hAnsi="Arial"/>
        <w:b w:val="0"/>
        <w:bCs/>
        <w:sz w:val="20"/>
      </w:rPr>
      <w:tblPr/>
      <w:tcPr>
        <w:tcBorders>
          <w:top w:val="single" w:sz="4" w:space="0" w:color="808080" w:themeColor="background1" w:themeShade="80"/>
          <w:left w:val="nil"/>
          <w:bottom w:val="single" w:sz="4" w:space="0" w:color="808080" w:themeColor="background1" w:themeShade="80"/>
          <w:right w:val="single" w:sz="18" w:space="0" w:color="808080" w:themeColor="background1" w:themeShade="80"/>
          <w:insideH w:val="nil"/>
          <w:insideV w:val="nil"/>
          <w:tl2br w:val="nil"/>
          <w:tr2bl w:val="nil"/>
        </w:tcBorders>
        <w:shd w:val="clear" w:color="auto" w:fill="E1E1E1"/>
      </w:tcPr>
    </w:tblStylePr>
    <w:tblStylePr w:type="lastCol">
      <w:rPr>
        <w:rFonts w:ascii="Arial" w:hAnsi="Arial"/>
        <w:b w:val="0"/>
        <w:bCs/>
        <w:sz w:val="20"/>
      </w:rPr>
      <w:tblPr/>
      <w:tcPr>
        <w:tcBorders>
          <w:top w:val="single" w:sz="4" w:space="0" w:color="808080" w:themeColor="background1" w:themeShade="80"/>
          <w:left w:val="single" w:sz="18" w:space="0" w:color="808080" w:themeColor="background1" w:themeShade="80"/>
          <w:bottom w:val="single" w:sz="4" w:space="0" w:color="808080" w:themeColor="background1" w:themeShade="80"/>
          <w:right w:val="nil"/>
          <w:insideH w:val="nil"/>
          <w:insideV w:val="nil"/>
          <w:tl2br w:val="nil"/>
          <w:tr2bl w:val="nil"/>
        </w:tcBorders>
        <w:shd w:val="clear" w:color="auto" w:fill="E1E1E1"/>
      </w:tcPr>
    </w:tblStylePr>
    <w:tblStylePr w:type="band1Horz">
      <w:tblPr/>
      <w:tcPr>
        <w:tcBorders>
          <w:top w:val="single" w:sz="4" w:space="0" w:color="A6A6A6" w:themeColor="background1" w:themeShade="A6"/>
          <w:left w:val="nil"/>
          <w:bottom w:val="single" w:sz="4" w:space="0" w:color="A6A6A6" w:themeColor="background1" w:themeShade="A6"/>
          <w:right w:val="nil"/>
          <w:insideH w:val="nil"/>
          <w:insideV w:val="single" w:sz="4" w:space="0" w:color="A6A6A6" w:themeColor="background1" w:themeShade="A6"/>
          <w:tl2br w:val="nil"/>
          <w:tr2bl w:val="nil"/>
        </w:tcBorders>
        <w:shd w:val="clear" w:color="auto" w:fill="F9F9F9"/>
      </w:tcPr>
    </w:tblStylePr>
    <w:tblStylePr w:type="band2Horz">
      <w:tblPr/>
      <w:tcPr>
        <w:tcBorders>
          <w:top w:val="single" w:sz="4" w:space="0" w:color="A6A6A6" w:themeColor="background1" w:themeShade="A6"/>
          <w:left w:val="nil"/>
          <w:bottom w:val="single" w:sz="4" w:space="0" w:color="A6A6A6" w:themeColor="background1" w:themeShade="A6"/>
          <w:right w:val="nil"/>
          <w:insideH w:val="nil"/>
          <w:insideV w:val="single" w:sz="4" w:space="0" w:color="BFBFBF" w:themeColor="background1" w:themeShade="BF"/>
          <w:tl2br w:val="nil"/>
          <w:tr2bl w:val="nil"/>
        </w:tcBorders>
        <w:shd w:val="clear" w:color="auto" w:fill="FFFFFF" w:themeFill="background1"/>
      </w:tcPr>
    </w:tblStylePr>
    <w:tblStylePr w:type="seCell">
      <w:tblPr/>
      <w:tcPr>
        <w:tcBorders>
          <w:top w:val="single" w:sz="18" w:space="0" w:color="808080" w:themeColor="background1" w:themeShade="80"/>
          <w:left w:val="single" w:sz="4" w:space="0" w:color="808080" w:themeColor="background1" w:themeShade="80"/>
          <w:bottom w:val="single" w:sz="4" w:space="0" w:color="808080" w:themeColor="background1" w:themeShade="80"/>
          <w:right w:val="nil"/>
          <w:insideH w:val="nil"/>
          <w:insideV w:val="nil"/>
          <w:tl2br w:val="nil"/>
          <w:tr2bl w:val="nil"/>
        </w:tcBorders>
        <w:shd w:val="clear" w:color="auto" w:fill="A7D8B8"/>
      </w:tcPr>
    </w:tblStylePr>
  </w:style>
  <w:style w:type="character" w:styleId="Hyperlink">
    <w:name w:val="Hyperlink"/>
    <w:basedOn w:val="DefaultParagraphFont"/>
    <w:uiPriority w:val="99"/>
    <w:unhideWhenUsed/>
    <w:rsid w:val="00520C96"/>
    <w:rPr>
      <w:color w:val="00A651" w:themeColor="hyperlink"/>
      <w:u w:val="single"/>
    </w:rPr>
  </w:style>
  <w:style w:type="character" w:styleId="UnresolvedMention">
    <w:name w:val="Unresolved Mention"/>
    <w:basedOn w:val="DefaultParagraphFont"/>
    <w:uiPriority w:val="99"/>
    <w:semiHidden/>
    <w:unhideWhenUsed/>
    <w:rsid w:val="00D70F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7241">
      <w:bodyDiv w:val="1"/>
      <w:marLeft w:val="0"/>
      <w:marRight w:val="0"/>
      <w:marTop w:val="0"/>
      <w:marBottom w:val="0"/>
      <w:divBdr>
        <w:top w:val="none" w:sz="0" w:space="0" w:color="auto"/>
        <w:left w:val="none" w:sz="0" w:space="0" w:color="auto"/>
        <w:bottom w:val="none" w:sz="0" w:space="0" w:color="auto"/>
        <w:right w:val="none" w:sz="0" w:space="0" w:color="auto"/>
      </w:divBdr>
    </w:div>
    <w:div w:id="15815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nda.van.den.borne@itea3.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tea3.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ITEA%203\ITEA%203%20Word%20template.dotx" TargetMode="External"/></Relationships>
</file>

<file path=word/theme/theme1.xml><?xml version="1.0" encoding="utf-8"?>
<a:theme xmlns:a="http://schemas.openxmlformats.org/drawingml/2006/main" name="Office Theme">
  <a:themeElements>
    <a:clrScheme name="ITEA Office">
      <a:dk1>
        <a:sysClr val="windowText" lastClr="000000"/>
      </a:dk1>
      <a:lt1>
        <a:sysClr val="window" lastClr="FFFFFF"/>
      </a:lt1>
      <a:dk2>
        <a:srgbClr val="F36F21"/>
      </a:dk2>
      <a:lt2>
        <a:srgbClr val="EEECE1"/>
      </a:lt2>
      <a:accent1>
        <a:srgbClr val="00A651"/>
      </a:accent1>
      <a:accent2>
        <a:srgbClr val="7F7F7F"/>
      </a:accent2>
      <a:accent3>
        <a:srgbClr val="F36F21"/>
      </a:accent3>
      <a:accent4>
        <a:srgbClr val="FBDC57"/>
      </a:accent4>
      <a:accent5>
        <a:srgbClr val="73C052"/>
      </a:accent5>
      <a:accent6>
        <a:srgbClr val="2484C6"/>
      </a:accent6>
      <a:hlink>
        <a:srgbClr val="00A651"/>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1F6939-1E07-480B-9CA8-8780C1EB9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ITEA 3 Word template.dotx</Template>
  <TotalTime>0</TotalTime>
  <Pages>3</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van den Borne</dc:creator>
  <cp:lastModifiedBy>Diana Verdoes</cp:lastModifiedBy>
  <cp:revision>2</cp:revision>
  <cp:lastPrinted>2014-01-10T09:06:00Z</cp:lastPrinted>
  <dcterms:created xsi:type="dcterms:W3CDTF">2019-11-28T10:01:00Z</dcterms:created>
  <dcterms:modified xsi:type="dcterms:W3CDTF">2019-11-28T10:01:00Z</dcterms:modified>
</cp:coreProperties>
</file>